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Ansi="宋体"/>
          <w:b/>
          <w:sz w:val="72"/>
          <w:szCs w:val="72"/>
        </w:rPr>
      </w:pPr>
    </w:p>
    <w:p>
      <w:pPr>
        <w:spacing w:line="360" w:lineRule="auto"/>
        <w:jc w:val="center"/>
        <w:rPr>
          <w:rFonts w:hAnsi="宋体"/>
          <w:sz w:val="72"/>
          <w:szCs w:val="72"/>
        </w:rPr>
      </w:pPr>
      <w:r>
        <w:rPr>
          <w:rFonts w:hint="eastAsia" w:hAnsi="宋体"/>
          <w:sz w:val="72"/>
          <w:szCs w:val="72"/>
        </w:rPr>
        <w:t>南京审计大学</w:t>
      </w:r>
    </w:p>
    <w:p>
      <w:pPr>
        <w:spacing w:line="360" w:lineRule="auto"/>
        <w:jc w:val="center"/>
        <w:rPr>
          <w:rFonts w:hAnsi="宋体"/>
          <w:sz w:val="72"/>
          <w:szCs w:val="72"/>
        </w:rPr>
      </w:pPr>
    </w:p>
    <w:p>
      <w:pPr>
        <w:spacing w:line="360" w:lineRule="auto"/>
        <w:jc w:val="center"/>
        <w:rPr>
          <w:rFonts w:hAnsi="宋体"/>
          <w:sz w:val="72"/>
          <w:szCs w:val="72"/>
        </w:rPr>
      </w:pPr>
      <w:r>
        <w:rPr>
          <w:rFonts w:hint="eastAsia" w:hAnsi="宋体"/>
          <w:sz w:val="72"/>
          <w:szCs w:val="72"/>
        </w:rPr>
        <w:t>竞争性谈判采购文件</w:t>
      </w:r>
    </w:p>
    <w:p>
      <w:pPr>
        <w:spacing w:line="360" w:lineRule="auto"/>
        <w:jc w:val="center"/>
        <w:rPr>
          <w:rFonts w:hAnsi="宋体"/>
          <w:b/>
          <w:sz w:val="72"/>
          <w:szCs w:val="72"/>
        </w:rPr>
      </w:pPr>
    </w:p>
    <w:p>
      <w:pPr>
        <w:spacing w:line="360" w:lineRule="auto"/>
        <w:jc w:val="center"/>
        <w:rPr>
          <w:rFonts w:hAnsi="宋体"/>
          <w:b/>
          <w:sz w:val="72"/>
          <w:szCs w:val="72"/>
        </w:rPr>
      </w:pPr>
    </w:p>
    <w:p>
      <w:pPr>
        <w:spacing w:line="360" w:lineRule="auto"/>
        <w:jc w:val="center"/>
        <w:rPr>
          <w:rFonts w:hAnsi="宋体"/>
          <w:b/>
          <w:sz w:val="72"/>
          <w:szCs w:val="72"/>
        </w:rPr>
      </w:pPr>
    </w:p>
    <w:p>
      <w:pPr>
        <w:ind w:firstLine="640" w:firstLineChars="200"/>
        <w:rPr>
          <w:rFonts w:hAnsi="宋体"/>
          <w:sz w:val="32"/>
          <w:szCs w:val="36"/>
          <w:u w:val="single"/>
        </w:rPr>
      </w:pPr>
      <w:r>
        <w:rPr>
          <w:rFonts w:hint="eastAsia" w:hAnsi="宋体"/>
          <w:sz w:val="32"/>
          <w:szCs w:val="36"/>
        </w:rPr>
        <w:t>采购项目：</w:t>
      </w:r>
      <w:r>
        <w:rPr>
          <w:rFonts w:hint="eastAsia" w:hAnsi="宋体"/>
          <w:sz w:val="32"/>
          <w:szCs w:val="36"/>
          <w:u w:val="single"/>
        </w:rPr>
        <w:t xml:space="preserve">  </w:t>
      </w:r>
      <w:r>
        <w:rPr>
          <w:rFonts w:hAnsi="宋体"/>
          <w:sz w:val="32"/>
          <w:szCs w:val="36"/>
          <w:u w:val="single"/>
        </w:rPr>
        <w:t xml:space="preserve">      </w:t>
      </w:r>
      <w:r>
        <w:rPr>
          <w:rFonts w:hint="eastAsia" w:hAnsi="宋体"/>
          <w:sz w:val="32"/>
          <w:szCs w:val="36"/>
          <w:u w:val="single"/>
        </w:rPr>
        <w:t xml:space="preserve">公共经济学院软件采购  </w:t>
      </w:r>
      <w:r>
        <w:rPr>
          <w:rFonts w:hAnsi="宋体"/>
          <w:sz w:val="32"/>
          <w:szCs w:val="36"/>
          <w:u w:val="single"/>
        </w:rPr>
        <w:t xml:space="preserve">   </w:t>
      </w:r>
      <w:r>
        <w:rPr>
          <w:rFonts w:hint="eastAsia" w:hAnsi="宋体"/>
          <w:sz w:val="32"/>
          <w:szCs w:val="36"/>
          <w:u w:val="single"/>
        </w:rPr>
        <w:t xml:space="preserve">    </w:t>
      </w:r>
    </w:p>
    <w:p>
      <w:pPr>
        <w:ind w:firstLine="640" w:firstLineChars="200"/>
        <w:rPr>
          <w:rFonts w:hAnsi="宋体"/>
          <w:sz w:val="32"/>
          <w:szCs w:val="36"/>
          <w:u w:val="single"/>
        </w:rPr>
      </w:pPr>
      <w:r>
        <w:rPr>
          <w:rFonts w:hint="eastAsia" w:hAnsi="宋体"/>
          <w:sz w:val="32"/>
          <w:szCs w:val="36"/>
        </w:rPr>
        <w:t>采购编号：</w:t>
      </w:r>
      <w:r>
        <w:rPr>
          <w:rFonts w:hint="eastAsia" w:hAnsi="宋体"/>
          <w:sz w:val="32"/>
          <w:szCs w:val="36"/>
          <w:u w:val="single"/>
        </w:rPr>
        <w:t xml:space="preserve">    　   </w:t>
      </w:r>
      <w:r>
        <w:rPr>
          <w:rFonts w:hAnsi="宋体"/>
          <w:sz w:val="32"/>
          <w:szCs w:val="36"/>
          <w:u w:val="single"/>
        </w:rPr>
        <w:t xml:space="preserve"> </w:t>
      </w:r>
      <w:r>
        <w:rPr>
          <w:rFonts w:hint="eastAsia" w:hAnsi="宋体"/>
          <w:sz w:val="32"/>
          <w:szCs w:val="36"/>
          <w:u w:val="single"/>
        </w:rPr>
        <w:t xml:space="preserve">   </w:t>
      </w:r>
      <w:r>
        <w:rPr>
          <w:rFonts w:hAnsi="宋体"/>
          <w:sz w:val="32"/>
          <w:szCs w:val="36"/>
          <w:u w:val="single"/>
        </w:rPr>
        <w:t>NSC</w:t>
      </w:r>
      <w:r>
        <w:rPr>
          <w:rFonts w:hint="eastAsia" w:hAnsi="宋体"/>
          <w:sz w:val="32"/>
          <w:szCs w:val="36"/>
          <w:u w:val="single"/>
        </w:rPr>
        <w:t>-</w:t>
      </w:r>
      <w:r>
        <w:rPr>
          <w:rFonts w:hAnsi="宋体"/>
          <w:sz w:val="32"/>
          <w:szCs w:val="36"/>
          <w:u w:val="single"/>
        </w:rPr>
        <w:t>2016-0</w:t>
      </w:r>
      <w:r>
        <w:rPr>
          <w:rFonts w:hint="eastAsia" w:hAnsi="宋体"/>
          <w:sz w:val="32"/>
          <w:szCs w:val="36"/>
          <w:u w:val="single"/>
        </w:rPr>
        <w:t xml:space="preserve">35   </w:t>
      </w:r>
      <w:r>
        <w:rPr>
          <w:rFonts w:hAnsi="宋体"/>
          <w:sz w:val="32"/>
          <w:szCs w:val="36"/>
          <w:u w:val="single"/>
        </w:rPr>
        <w:t xml:space="preserve"> </w:t>
      </w:r>
      <w:r>
        <w:rPr>
          <w:rFonts w:hint="eastAsia" w:hAnsi="宋体"/>
          <w:sz w:val="32"/>
          <w:szCs w:val="36"/>
          <w:u w:val="single"/>
        </w:rPr>
        <w:t xml:space="preserve"> 　     </w:t>
      </w:r>
    </w:p>
    <w:p>
      <w:pPr>
        <w:ind w:firstLine="640" w:firstLineChars="200"/>
        <w:rPr>
          <w:rFonts w:hAnsi="宋体"/>
          <w:sz w:val="32"/>
          <w:szCs w:val="36"/>
          <w:u w:val="single"/>
        </w:rPr>
      </w:pPr>
      <w:r>
        <w:rPr>
          <w:rFonts w:hint="eastAsia" w:hAnsi="宋体"/>
          <w:sz w:val="32"/>
          <w:szCs w:val="36"/>
        </w:rPr>
        <w:t>采 购 人：</w:t>
      </w:r>
      <w:r>
        <w:rPr>
          <w:rFonts w:hint="eastAsia" w:hAnsi="宋体"/>
          <w:sz w:val="32"/>
          <w:szCs w:val="36"/>
          <w:u w:val="single"/>
        </w:rPr>
        <w:t xml:space="preserve">    　    </w:t>
      </w:r>
      <w:r>
        <w:rPr>
          <w:rFonts w:hAnsi="宋体"/>
          <w:sz w:val="32"/>
          <w:szCs w:val="36"/>
          <w:u w:val="single"/>
        </w:rPr>
        <w:t xml:space="preserve"> </w:t>
      </w:r>
      <w:r>
        <w:rPr>
          <w:rFonts w:hint="eastAsia" w:hAnsi="宋体"/>
          <w:sz w:val="32"/>
          <w:szCs w:val="36"/>
          <w:u w:val="single"/>
        </w:rPr>
        <w:t xml:space="preserve">　南京审计大学    </w:t>
      </w:r>
      <w:r>
        <w:rPr>
          <w:rFonts w:hAnsi="宋体"/>
          <w:sz w:val="32"/>
          <w:szCs w:val="36"/>
          <w:u w:val="single"/>
        </w:rPr>
        <w:t xml:space="preserve"> </w:t>
      </w:r>
      <w:r>
        <w:rPr>
          <w:rFonts w:hint="eastAsia" w:hAnsi="宋体"/>
          <w:sz w:val="32"/>
          <w:szCs w:val="36"/>
          <w:u w:val="single"/>
        </w:rPr>
        <w:t xml:space="preserve">　     </w:t>
      </w:r>
    </w:p>
    <w:p>
      <w:pPr>
        <w:ind w:firstLine="640" w:firstLineChars="200"/>
        <w:rPr>
          <w:rFonts w:hAnsi="宋体"/>
          <w:sz w:val="32"/>
        </w:rPr>
      </w:pPr>
      <w:r>
        <w:rPr>
          <w:rFonts w:hint="eastAsia" w:hAnsi="宋体"/>
          <w:sz w:val="32"/>
          <w:szCs w:val="36"/>
        </w:rPr>
        <w:t>日    期：</w:t>
      </w:r>
      <w:r>
        <w:rPr>
          <w:rFonts w:hint="eastAsia" w:hAnsi="宋体"/>
          <w:sz w:val="32"/>
          <w:szCs w:val="36"/>
          <w:u w:val="single"/>
        </w:rPr>
        <w:t xml:space="preserve">    　    </w:t>
      </w:r>
      <w:r>
        <w:rPr>
          <w:rFonts w:hAnsi="宋体"/>
          <w:sz w:val="32"/>
          <w:szCs w:val="36"/>
          <w:u w:val="single"/>
        </w:rPr>
        <w:t xml:space="preserve"> </w:t>
      </w:r>
      <w:r>
        <w:rPr>
          <w:rFonts w:hint="eastAsia" w:hAnsi="宋体"/>
          <w:sz w:val="32"/>
          <w:szCs w:val="36"/>
          <w:u w:val="single"/>
        </w:rPr>
        <w:t xml:space="preserve"> </w:t>
      </w:r>
      <w:r>
        <w:rPr>
          <w:rFonts w:hint="eastAsia" w:hAnsi="宋体"/>
          <w:sz w:val="32"/>
          <w:szCs w:val="32"/>
          <w:u w:val="single"/>
        </w:rPr>
        <w:t>二○一六年十月</w:t>
      </w:r>
      <w:r>
        <w:rPr>
          <w:rFonts w:hint="eastAsia" w:hAnsi="宋体"/>
          <w:sz w:val="32"/>
          <w:szCs w:val="36"/>
          <w:u w:val="single"/>
        </w:rPr>
        <w:t xml:space="preserve">   </w:t>
      </w:r>
      <w:r>
        <w:rPr>
          <w:rFonts w:hAnsi="宋体"/>
          <w:sz w:val="32"/>
          <w:szCs w:val="36"/>
          <w:u w:val="single"/>
        </w:rPr>
        <w:t xml:space="preserve"> </w:t>
      </w:r>
      <w:r>
        <w:rPr>
          <w:rFonts w:hint="eastAsia" w:hAnsi="宋体"/>
          <w:sz w:val="32"/>
          <w:szCs w:val="36"/>
          <w:u w:val="single"/>
        </w:rPr>
        <w:t xml:space="preserve">　     </w:t>
      </w:r>
    </w:p>
    <w:p>
      <w:pPr>
        <w:spacing w:line="360" w:lineRule="auto"/>
        <w:jc w:val="center"/>
        <w:rPr>
          <w:rFonts w:hAnsi="宋体"/>
          <w:b/>
          <w:sz w:val="72"/>
          <w:szCs w:val="72"/>
        </w:rPr>
      </w:pPr>
    </w:p>
    <w:p>
      <w:pPr>
        <w:widowControl/>
        <w:autoSpaceDE/>
        <w:autoSpaceDN/>
        <w:adjustRightInd/>
        <w:rPr>
          <w:rFonts w:hAnsi="宋体"/>
          <w:b/>
          <w:sz w:val="44"/>
          <w:szCs w:val="44"/>
        </w:rPr>
      </w:pPr>
      <w:r>
        <w:rPr>
          <w:rFonts w:hAnsi="宋体"/>
          <w:b/>
          <w:sz w:val="44"/>
          <w:szCs w:val="44"/>
        </w:rPr>
        <w:br w:type="page"/>
      </w:r>
      <w:bookmarkStart w:id="110" w:name="_GoBack"/>
      <w:bookmarkEnd w:id="110"/>
    </w:p>
    <w:p>
      <w:pPr>
        <w:spacing w:line="360" w:lineRule="auto"/>
        <w:jc w:val="center"/>
        <w:rPr>
          <w:rFonts w:hAnsi="宋体"/>
          <w:b/>
          <w:sz w:val="44"/>
          <w:szCs w:val="44"/>
        </w:rPr>
      </w:pPr>
    </w:p>
    <w:p>
      <w:pPr>
        <w:spacing w:line="360" w:lineRule="auto"/>
        <w:jc w:val="center"/>
        <w:rPr>
          <w:rFonts w:hAnsi="宋体"/>
          <w:b/>
          <w:sz w:val="44"/>
          <w:szCs w:val="44"/>
        </w:rPr>
      </w:pPr>
      <w:r>
        <w:rPr>
          <w:rFonts w:hint="eastAsia" w:hAnsi="宋体"/>
          <w:b/>
          <w:sz w:val="44"/>
          <w:szCs w:val="44"/>
        </w:rPr>
        <w:t>目  录</w:t>
      </w:r>
    </w:p>
    <w:p>
      <w:pPr>
        <w:pStyle w:val="30"/>
        <w:tabs>
          <w:tab w:val="right" w:leader="dot" w:pos="8312"/>
        </w:tabs>
      </w:pPr>
      <w:r>
        <w:rPr>
          <w:rStyle w:val="43"/>
          <w:sz w:val="24"/>
          <w:szCs w:val="24"/>
        </w:rPr>
        <w:fldChar w:fldCharType="begin"/>
      </w:r>
      <w:r>
        <w:rPr>
          <w:rStyle w:val="43"/>
          <w:sz w:val="24"/>
          <w:szCs w:val="24"/>
        </w:rPr>
        <w:instrText xml:space="preserve"> TOC \o "1-3" \h \z \u </w:instrText>
      </w:r>
      <w:r>
        <w:rPr>
          <w:rStyle w:val="43"/>
          <w:sz w:val="24"/>
          <w:szCs w:val="24"/>
        </w:rPr>
        <w:fldChar w:fldCharType="separate"/>
      </w:r>
      <w:r>
        <w:rPr>
          <w:szCs w:val="24"/>
        </w:rPr>
        <w:fldChar w:fldCharType="begin"/>
      </w:r>
      <w:r>
        <w:rPr>
          <w:szCs w:val="24"/>
        </w:rPr>
        <w:instrText xml:space="preserve"> HYPERLINK \l _Toc27461 </w:instrText>
      </w:r>
      <w:r>
        <w:rPr>
          <w:szCs w:val="24"/>
        </w:rPr>
        <w:fldChar w:fldCharType="separate"/>
      </w:r>
      <w:r>
        <w:rPr>
          <w:rFonts w:hint="eastAsia"/>
        </w:rPr>
        <w:t>第一章  谈判供应商须知</w:t>
      </w:r>
      <w:r>
        <w:tab/>
      </w:r>
      <w:r>
        <w:fldChar w:fldCharType="begin"/>
      </w:r>
      <w:r>
        <w:instrText xml:space="preserve"> PAGEREF _Toc27461 </w:instrText>
      </w:r>
      <w:r>
        <w:fldChar w:fldCharType="separate"/>
      </w:r>
      <w:r>
        <w:t>3</w:t>
      </w:r>
      <w:r>
        <w:fldChar w:fldCharType="end"/>
      </w:r>
      <w:r>
        <w:rPr>
          <w:szCs w:val="24"/>
        </w:rPr>
        <w:fldChar w:fldCharType="end"/>
      </w:r>
    </w:p>
    <w:p>
      <w:pPr>
        <w:pStyle w:val="36"/>
        <w:tabs>
          <w:tab w:val="right" w:leader="dot" w:pos="8312"/>
          <w:tab w:val="clear" w:pos="8540"/>
        </w:tabs>
      </w:pPr>
      <w:r>
        <w:rPr>
          <w:szCs w:val="24"/>
        </w:rPr>
        <w:fldChar w:fldCharType="begin"/>
      </w:r>
      <w:r>
        <w:rPr>
          <w:szCs w:val="24"/>
        </w:rPr>
        <w:instrText xml:space="preserve"> HYPERLINK \l _Toc25047 </w:instrText>
      </w:r>
      <w:r>
        <w:rPr>
          <w:szCs w:val="24"/>
        </w:rPr>
        <w:fldChar w:fldCharType="separate"/>
      </w:r>
      <w:r>
        <w:rPr>
          <w:rFonts w:hint="eastAsia" w:ascii="宋体" w:hAnsi="宋体" w:eastAsia="宋体"/>
        </w:rPr>
        <w:t>前附表</w:t>
      </w:r>
      <w:r>
        <w:tab/>
      </w:r>
      <w:r>
        <w:fldChar w:fldCharType="begin"/>
      </w:r>
      <w:r>
        <w:instrText xml:space="preserve"> PAGEREF _Toc25047 </w:instrText>
      </w:r>
      <w:r>
        <w:fldChar w:fldCharType="separate"/>
      </w:r>
      <w:r>
        <w:t>3</w:t>
      </w:r>
      <w:r>
        <w:fldChar w:fldCharType="end"/>
      </w:r>
      <w:r>
        <w:rPr>
          <w:szCs w:val="24"/>
        </w:rPr>
        <w:fldChar w:fldCharType="end"/>
      </w:r>
    </w:p>
    <w:p>
      <w:pPr>
        <w:pStyle w:val="36"/>
        <w:tabs>
          <w:tab w:val="right" w:leader="dot" w:pos="8312"/>
          <w:tab w:val="clear" w:pos="8540"/>
        </w:tabs>
      </w:pPr>
      <w:r>
        <w:rPr>
          <w:szCs w:val="24"/>
        </w:rPr>
        <w:fldChar w:fldCharType="begin"/>
      </w:r>
      <w:r>
        <w:rPr>
          <w:szCs w:val="24"/>
        </w:rPr>
        <w:instrText xml:space="preserve"> HYPERLINK \l _Toc7118 </w:instrText>
      </w:r>
      <w:r>
        <w:rPr>
          <w:szCs w:val="24"/>
        </w:rPr>
        <w:fldChar w:fldCharType="separate"/>
      </w:r>
      <w:r>
        <w:rPr>
          <w:rFonts w:hint="default" w:ascii="宋体" w:hAnsi="宋体" w:eastAsia="宋体"/>
        </w:rPr>
        <w:t xml:space="preserve">一、 </w:t>
      </w:r>
      <w:r>
        <w:rPr>
          <w:rFonts w:hint="eastAsia" w:ascii="宋体" w:hAnsi="宋体" w:eastAsia="宋体"/>
        </w:rPr>
        <w:t>总则</w:t>
      </w:r>
      <w:r>
        <w:tab/>
      </w:r>
      <w:r>
        <w:fldChar w:fldCharType="begin"/>
      </w:r>
      <w:r>
        <w:instrText xml:space="preserve"> PAGEREF _Toc7118 </w:instrText>
      </w:r>
      <w:r>
        <w:fldChar w:fldCharType="separate"/>
      </w:r>
      <w:r>
        <w:t>4</w:t>
      </w:r>
      <w:r>
        <w:fldChar w:fldCharType="end"/>
      </w:r>
      <w:r>
        <w:rPr>
          <w:szCs w:val="24"/>
        </w:rPr>
        <w:fldChar w:fldCharType="end"/>
      </w:r>
    </w:p>
    <w:p>
      <w:pPr>
        <w:pStyle w:val="36"/>
        <w:tabs>
          <w:tab w:val="right" w:leader="dot" w:pos="8312"/>
          <w:tab w:val="clear" w:pos="8540"/>
        </w:tabs>
      </w:pPr>
      <w:r>
        <w:rPr>
          <w:szCs w:val="24"/>
        </w:rPr>
        <w:fldChar w:fldCharType="begin"/>
      </w:r>
      <w:r>
        <w:rPr>
          <w:szCs w:val="24"/>
        </w:rPr>
        <w:instrText xml:space="preserve"> HYPERLINK \l _Toc18966 </w:instrText>
      </w:r>
      <w:r>
        <w:rPr>
          <w:szCs w:val="24"/>
        </w:rPr>
        <w:fldChar w:fldCharType="separate"/>
      </w:r>
      <w:r>
        <w:rPr>
          <w:rFonts w:hint="eastAsia" w:ascii="宋体" w:hAnsi="宋体" w:eastAsia="宋体"/>
        </w:rPr>
        <w:t>1．适用范围</w:t>
      </w:r>
      <w:r>
        <w:tab/>
      </w:r>
      <w:r>
        <w:fldChar w:fldCharType="begin"/>
      </w:r>
      <w:r>
        <w:instrText xml:space="preserve"> PAGEREF _Toc18966 </w:instrText>
      </w:r>
      <w:r>
        <w:fldChar w:fldCharType="separate"/>
      </w:r>
      <w:r>
        <w:t>4</w:t>
      </w:r>
      <w:r>
        <w:fldChar w:fldCharType="end"/>
      </w:r>
      <w:r>
        <w:rPr>
          <w:szCs w:val="24"/>
        </w:rPr>
        <w:fldChar w:fldCharType="end"/>
      </w:r>
    </w:p>
    <w:p>
      <w:pPr>
        <w:pStyle w:val="36"/>
        <w:tabs>
          <w:tab w:val="right" w:leader="dot" w:pos="8312"/>
          <w:tab w:val="clear" w:pos="8540"/>
        </w:tabs>
      </w:pPr>
      <w:r>
        <w:rPr>
          <w:szCs w:val="24"/>
        </w:rPr>
        <w:fldChar w:fldCharType="begin"/>
      </w:r>
      <w:r>
        <w:rPr>
          <w:szCs w:val="24"/>
        </w:rPr>
        <w:instrText xml:space="preserve"> HYPERLINK \l _Toc19238 </w:instrText>
      </w:r>
      <w:r>
        <w:rPr>
          <w:szCs w:val="24"/>
        </w:rPr>
        <w:fldChar w:fldCharType="separate"/>
      </w:r>
      <w:r>
        <w:rPr>
          <w:rFonts w:hint="eastAsia" w:ascii="宋体" w:hAnsi="宋体" w:eastAsia="宋体"/>
        </w:rPr>
        <w:t>2．合格的谈判供应商</w:t>
      </w:r>
      <w:r>
        <w:tab/>
      </w:r>
      <w:r>
        <w:fldChar w:fldCharType="begin"/>
      </w:r>
      <w:r>
        <w:instrText xml:space="preserve"> PAGEREF _Toc19238 </w:instrText>
      </w:r>
      <w:r>
        <w:fldChar w:fldCharType="separate"/>
      </w:r>
      <w:r>
        <w:t>4</w:t>
      </w:r>
      <w:r>
        <w:fldChar w:fldCharType="end"/>
      </w:r>
      <w:r>
        <w:rPr>
          <w:szCs w:val="24"/>
        </w:rPr>
        <w:fldChar w:fldCharType="end"/>
      </w:r>
    </w:p>
    <w:p>
      <w:pPr>
        <w:pStyle w:val="36"/>
        <w:tabs>
          <w:tab w:val="right" w:leader="dot" w:pos="8312"/>
          <w:tab w:val="clear" w:pos="8540"/>
        </w:tabs>
      </w:pPr>
      <w:r>
        <w:rPr>
          <w:szCs w:val="24"/>
        </w:rPr>
        <w:fldChar w:fldCharType="begin"/>
      </w:r>
      <w:r>
        <w:rPr>
          <w:szCs w:val="24"/>
        </w:rPr>
        <w:instrText xml:space="preserve"> HYPERLINK \l _Toc751 </w:instrText>
      </w:r>
      <w:r>
        <w:rPr>
          <w:szCs w:val="24"/>
        </w:rPr>
        <w:fldChar w:fldCharType="separate"/>
      </w:r>
      <w:r>
        <w:rPr>
          <w:rFonts w:hint="eastAsia" w:ascii="宋体" w:hAnsi="宋体" w:eastAsia="宋体"/>
        </w:rPr>
        <w:t>3．竞争性谈判费用</w:t>
      </w:r>
      <w:r>
        <w:tab/>
      </w:r>
      <w:r>
        <w:fldChar w:fldCharType="begin"/>
      </w:r>
      <w:r>
        <w:instrText xml:space="preserve"> PAGEREF _Toc751 </w:instrText>
      </w:r>
      <w:r>
        <w:fldChar w:fldCharType="separate"/>
      </w:r>
      <w:r>
        <w:t>5</w:t>
      </w:r>
      <w:r>
        <w:fldChar w:fldCharType="end"/>
      </w:r>
      <w:r>
        <w:rPr>
          <w:szCs w:val="24"/>
        </w:rPr>
        <w:fldChar w:fldCharType="end"/>
      </w:r>
    </w:p>
    <w:p>
      <w:pPr>
        <w:pStyle w:val="36"/>
        <w:tabs>
          <w:tab w:val="right" w:leader="dot" w:pos="8312"/>
          <w:tab w:val="clear" w:pos="8540"/>
        </w:tabs>
      </w:pPr>
      <w:r>
        <w:rPr>
          <w:szCs w:val="24"/>
        </w:rPr>
        <w:fldChar w:fldCharType="begin"/>
      </w:r>
      <w:r>
        <w:rPr>
          <w:szCs w:val="24"/>
        </w:rPr>
        <w:instrText xml:space="preserve"> HYPERLINK \l _Toc20122 </w:instrText>
      </w:r>
      <w:r>
        <w:rPr>
          <w:szCs w:val="24"/>
        </w:rPr>
        <w:fldChar w:fldCharType="separate"/>
      </w:r>
      <w:r>
        <w:rPr>
          <w:rFonts w:hint="eastAsia" w:ascii="宋体" w:hAnsi="宋体" w:eastAsia="宋体"/>
        </w:rPr>
        <w:t>4．法律适用</w:t>
      </w:r>
      <w:r>
        <w:tab/>
      </w:r>
      <w:r>
        <w:fldChar w:fldCharType="begin"/>
      </w:r>
      <w:r>
        <w:instrText xml:space="preserve"> PAGEREF _Toc20122 </w:instrText>
      </w:r>
      <w:r>
        <w:fldChar w:fldCharType="separate"/>
      </w:r>
      <w:r>
        <w:t>5</w:t>
      </w:r>
      <w:r>
        <w:fldChar w:fldCharType="end"/>
      </w:r>
      <w:r>
        <w:rPr>
          <w:szCs w:val="24"/>
        </w:rPr>
        <w:fldChar w:fldCharType="end"/>
      </w:r>
    </w:p>
    <w:p>
      <w:pPr>
        <w:pStyle w:val="36"/>
        <w:tabs>
          <w:tab w:val="right" w:leader="dot" w:pos="8312"/>
          <w:tab w:val="clear" w:pos="8540"/>
        </w:tabs>
      </w:pPr>
      <w:r>
        <w:rPr>
          <w:szCs w:val="24"/>
        </w:rPr>
        <w:fldChar w:fldCharType="begin"/>
      </w:r>
      <w:r>
        <w:rPr>
          <w:szCs w:val="24"/>
        </w:rPr>
        <w:instrText xml:space="preserve"> HYPERLINK \l _Toc26293 </w:instrText>
      </w:r>
      <w:r>
        <w:rPr>
          <w:szCs w:val="24"/>
        </w:rPr>
        <w:fldChar w:fldCharType="separate"/>
      </w:r>
      <w:r>
        <w:rPr>
          <w:rFonts w:hint="eastAsia" w:ascii="宋体" w:hAnsi="宋体" w:eastAsia="宋体"/>
        </w:rPr>
        <w:t>5．谈判采购文件的约束力</w:t>
      </w:r>
      <w:r>
        <w:tab/>
      </w:r>
      <w:r>
        <w:fldChar w:fldCharType="begin"/>
      </w:r>
      <w:r>
        <w:instrText xml:space="preserve"> PAGEREF _Toc26293 </w:instrText>
      </w:r>
      <w:r>
        <w:fldChar w:fldCharType="separate"/>
      </w:r>
      <w:r>
        <w:t>5</w:t>
      </w:r>
      <w:r>
        <w:fldChar w:fldCharType="end"/>
      </w:r>
      <w:r>
        <w:rPr>
          <w:szCs w:val="24"/>
        </w:rPr>
        <w:fldChar w:fldCharType="end"/>
      </w:r>
    </w:p>
    <w:p>
      <w:pPr>
        <w:pStyle w:val="36"/>
        <w:tabs>
          <w:tab w:val="right" w:leader="dot" w:pos="8312"/>
          <w:tab w:val="clear" w:pos="8540"/>
        </w:tabs>
      </w:pPr>
      <w:r>
        <w:rPr>
          <w:szCs w:val="24"/>
        </w:rPr>
        <w:fldChar w:fldCharType="begin"/>
      </w:r>
      <w:r>
        <w:rPr>
          <w:szCs w:val="24"/>
        </w:rPr>
        <w:instrText xml:space="preserve"> HYPERLINK \l _Toc28806 </w:instrText>
      </w:r>
      <w:r>
        <w:rPr>
          <w:szCs w:val="24"/>
        </w:rPr>
        <w:fldChar w:fldCharType="separate"/>
      </w:r>
      <w:r>
        <w:rPr>
          <w:rFonts w:hint="eastAsia" w:ascii="宋体" w:hAnsi="宋体" w:eastAsia="宋体"/>
        </w:rPr>
        <w:t>二、谈判采购文件</w:t>
      </w:r>
      <w:r>
        <w:tab/>
      </w:r>
      <w:r>
        <w:fldChar w:fldCharType="begin"/>
      </w:r>
      <w:r>
        <w:instrText xml:space="preserve"> PAGEREF _Toc28806 </w:instrText>
      </w:r>
      <w:r>
        <w:fldChar w:fldCharType="separate"/>
      </w:r>
      <w:r>
        <w:t>5</w:t>
      </w:r>
      <w:r>
        <w:fldChar w:fldCharType="end"/>
      </w:r>
      <w:r>
        <w:rPr>
          <w:szCs w:val="24"/>
        </w:rPr>
        <w:fldChar w:fldCharType="end"/>
      </w:r>
    </w:p>
    <w:p>
      <w:pPr>
        <w:pStyle w:val="36"/>
        <w:tabs>
          <w:tab w:val="right" w:leader="dot" w:pos="8312"/>
          <w:tab w:val="clear" w:pos="8540"/>
        </w:tabs>
      </w:pPr>
      <w:r>
        <w:rPr>
          <w:szCs w:val="24"/>
        </w:rPr>
        <w:fldChar w:fldCharType="begin"/>
      </w:r>
      <w:r>
        <w:rPr>
          <w:szCs w:val="24"/>
        </w:rPr>
        <w:instrText xml:space="preserve"> HYPERLINK \l _Toc21086 </w:instrText>
      </w:r>
      <w:r>
        <w:rPr>
          <w:szCs w:val="24"/>
        </w:rPr>
        <w:fldChar w:fldCharType="separate"/>
      </w:r>
      <w:r>
        <w:rPr>
          <w:rFonts w:hint="eastAsia" w:ascii="宋体" w:hAnsi="宋体" w:eastAsia="宋体"/>
        </w:rPr>
        <w:t>6．谈判采购文件的组成</w:t>
      </w:r>
      <w:r>
        <w:tab/>
      </w:r>
      <w:r>
        <w:fldChar w:fldCharType="begin"/>
      </w:r>
      <w:r>
        <w:instrText xml:space="preserve"> PAGEREF _Toc21086 </w:instrText>
      </w:r>
      <w:r>
        <w:fldChar w:fldCharType="separate"/>
      </w:r>
      <w:r>
        <w:t>5</w:t>
      </w:r>
      <w:r>
        <w:fldChar w:fldCharType="end"/>
      </w:r>
      <w:r>
        <w:rPr>
          <w:szCs w:val="24"/>
        </w:rPr>
        <w:fldChar w:fldCharType="end"/>
      </w:r>
    </w:p>
    <w:p>
      <w:pPr>
        <w:pStyle w:val="36"/>
        <w:tabs>
          <w:tab w:val="right" w:leader="dot" w:pos="8312"/>
          <w:tab w:val="clear" w:pos="8540"/>
        </w:tabs>
      </w:pPr>
      <w:r>
        <w:rPr>
          <w:szCs w:val="24"/>
        </w:rPr>
        <w:fldChar w:fldCharType="begin"/>
      </w:r>
      <w:r>
        <w:rPr>
          <w:szCs w:val="24"/>
        </w:rPr>
        <w:instrText xml:space="preserve"> HYPERLINK \l _Toc3557 </w:instrText>
      </w:r>
      <w:r>
        <w:rPr>
          <w:szCs w:val="24"/>
        </w:rPr>
        <w:fldChar w:fldCharType="separate"/>
      </w:r>
      <w:r>
        <w:rPr>
          <w:rFonts w:hint="eastAsia" w:ascii="宋体" w:hAnsi="宋体" w:eastAsia="宋体"/>
        </w:rPr>
        <w:t>7．谈判采购文件的澄清</w:t>
      </w:r>
      <w:r>
        <w:tab/>
      </w:r>
      <w:r>
        <w:fldChar w:fldCharType="begin"/>
      </w:r>
      <w:r>
        <w:instrText xml:space="preserve"> PAGEREF _Toc3557 </w:instrText>
      </w:r>
      <w:r>
        <w:fldChar w:fldCharType="separate"/>
      </w:r>
      <w:r>
        <w:t>6</w:t>
      </w:r>
      <w:r>
        <w:fldChar w:fldCharType="end"/>
      </w:r>
      <w:r>
        <w:rPr>
          <w:szCs w:val="24"/>
        </w:rPr>
        <w:fldChar w:fldCharType="end"/>
      </w:r>
    </w:p>
    <w:p>
      <w:pPr>
        <w:pStyle w:val="36"/>
        <w:tabs>
          <w:tab w:val="right" w:leader="dot" w:pos="8312"/>
          <w:tab w:val="clear" w:pos="8540"/>
        </w:tabs>
      </w:pPr>
      <w:r>
        <w:rPr>
          <w:szCs w:val="24"/>
        </w:rPr>
        <w:fldChar w:fldCharType="begin"/>
      </w:r>
      <w:r>
        <w:rPr>
          <w:szCs w:val="24"/>
        </w:rPr>
        <w:instrText xml:space="preserve"> HYPERLINK \l _Toc23378 </w:instrText>
      </w:r>
      <w:r>
        <w:rPr>
          <w:szCs w:val="24"/>
        </w:rPr>
        <w:fldChar w:fldCharType="separate"/>
      </w:r>
      <w:r>
        <w:rPr>
          <w:rFonts w:hint="eastAsia" w:ascii="宋体" w:hAnsi="宋体" w:eastAsia="宋体"/>
        </w:rPr>
        <w:t>8．谈判采购文件的更正或补充</w:t>
      </w:r>
      <w:r>
        <w:tab/>
      </w:r>
      <w:r>
        <w:fldChar w:fldCharType="begin"/>
      </w:r>
      <w:r>
        <w:instrText xml:space="preserve"> PAGEREF _Toc23378 </w:instrText>
      </w:r>
      <w:r>
        <w:fldChar w:fldCharType="separate"/>
      </w:r>
      <w:r>
        <w:t>6</w:t>
      </w:r>
      <w:r>
        <w:fldChar w:fldCharType="end"/>
      </w:r>
      <w:r>
        <w:rPr>
          <w:szCs w:val="24"/>
        </w:rPr>
        <w:fldChar w:fldCharType="end"/>
      </w:r>
    </w:p>
    <w:p>
      <w:pPr>
        <w:pStyle w:val="36"/>
        <w:tabs>
          <w:tab w:val="right" w:leader="dot" w:pos="8312"/>
          <w:tab w:val="clear" w:pos="8540"/>
        </w:tabs>
      </w:pPr>
      <w:r>
        <w:rPr>
          <w:szCs w:val="24"/>
        </w:rPr>
        <w:fldChar w:fldCharType="begin"/>
      </w:r>
      <w:r>
        <w:rPr>
          <w:szCs w:val="24"/>
        </w:rPr>
        <w:instrText xml:space="preserve"> HYPERLINK \l _Toc18801 </w:instrText>
      </w:r>
      <w:r>
        <w:rPr>
          <w:szCs w:val="24"/>
        </w:rPr>
        <w:fldChar w:fldCharType="separate"/>
      </w:r>
      <w:r>
        <w:rPr>
          <w:rFonts w:hint="eastAsia" w:ascii="宋体" w:hAnsi="宋体" w:eastAsia="宋体"/>
        </w:rPr>
        <w:t>三  谈判响应文件</w:t>
      </w:r>
      <w:r>
        <w:tab/>
      </w:r>
      <w:r>
        <w:fldChar w:fldCharType="begin"/>
      </w:r>
      <w:r>
        <w:instrText xml:space="preserve"> PAGEREF _Toc18801 </w:instrText>
      </w:r>
      <w:r>
        <w:fldChar w:fldCharType="separate"/>
      </w:r>
      <w:r>
        <w:t>6</w:t>
      </w:r>
      <w:r>
        <w:fldChar w:fldCharType="end"/>
      </w:r>
      <w:r>
        <w:rPr>
          <w:szCs w:val="24"/>
        </w:rPr>
        <w:fldChar w:fldCharType="end"/>
      </w:r>
    </w:p>
    <w:p>
      <w:pPr>
        <w:pStyle w:val="36"/>
        <w:tabs>
          <w:tab w:val="right" w:leader="dot" w:pos="8312"/>
          <w:tab w:val="clear" w:pos="8540"/>
        </w:tabs>
      </w:pPr>
      <w:r>
        <w:rPr>
          <w:szCs w:val="24"/>
        </w:rPr>
        <w:fldChar w:fldCharType="begin"/>
      </w:r>
      <w:r>
        <w:rPr>
          <w:szCs w:val="24"/>
        </w:rPr>
        <w:instrText xml:space="preserve"> HYPERLINK \l _Toc14480 </w:instrText>
      </w:r>
      <w:r>
        <w:rPr>
          <w:szCs w:val="24"/>
        </w:rPr>
        <w:fldChar w:fldCharType="separate"/>
      </w:r>
      <w:r>
        <w:rPr>
          <w:rFonts w:hint="eastAsia" w:ascii="宋体" w:hAnsi="宋体" w:eastAsia="宋体"/>
        </w:rPr>
        <w:t>9．谈判响应文件的语言及度量衡</w:t>
      </w:r>
      <w:r>
        <w:tab/>
      </w:r>
      <w:r>
        <w:fldChar w:fldCharType="begin"/>
      </w:r>
      <w:r>
        <w:instrText xml:space="preserve"> PAGEREF _Toc14480 </w:instrText>
      </w:r>
      <w:r>
        <w:fldChar w:fldCharType="separate"/>
      </w:r>
      <w:r>
        <w:t>6</w:t>
      </w:r>
      <w:r>
        <w:fldChar w:fldCharType="end"/>
      </w:r>
      <w:r>
        <w:rPr>
          <w:szCs w:val="24"/>
        </w:rPr>
        <w:fldChar w:fldCharType="end"/>
      </w:r>
    </w:p>
    <w:p>
      <w:pPr>
        <w:pStyle w:val="36"/>
        <w:tabs>
          <w:tab w:val="right" w:leader="dot" w:pos="8312"/>
          <w:tab w:val="clear" w:pos="8540"/>
        </w:tabs>
      </w:pPr>
      <w:r>
        <w:rPr>
          <w:szCs w:val="24"/>
        </w:rPr>
        <w:fldChar w:fldCharType="begin"/>
      </w:r>
      <w:r>
        <w:rPr>
          <w:szCs w:val="24"/>
        </w:rPr>
        <w:instrText xml:space="preserve"> HYPERLINK \l _Toc18613 </w:instrText>
      </w:r>
      <w:r>
        <w:rPr>
          <w:szCs w:val="24"/>
        </w:rPr>
        <w:fldChar w:fldCharType="separate"/>
      </w:r>
      <w:r>
        <w:rPr>
          <w:rFonts w:hint="eastAsia" w:ascii="宋体" w:hAnsi="宋体" w:eastAsia="宋体"/>
        </w:rPr>
        <w:t>10．谈判响应文件的组成</w:t>
      </w:r>
      <w:r>
        <w:tab/>
      </w:r>
      <w:r>
        <w:fldChar w:fldCharType="begin"/>
      </w:r>
      <w:r>
        <w:instrText xml:space="preserve"> PAGEREF _Toc18613 </w:instrText>
      </w:r>
      <w:r>
        <w:fldChar w:fldCharType="separate"/>
      </w:r>
      <w:r>
        <w:t>7</w:t>
      </w:r>
      <w:r>
        <w:fldChar w:fldCharType="end"/>
      </w:r>
      <w:r>
        <w:rPr>
          <w:szCs w:val="24"/>
        </w:rPr>
        <w:fldChar w:fldCharType="end"/>
      </w:r>
    </w:p>
    <w:p>
      <w:pPr>
        <w:pStyle w:val="36"/>
        <w:tabs>
          <w:tab w:val="right" w:leader="dot" w:pos="8312"/>
          <w:tab w:val="clear" w:pos="8540"/>
        </w:tabs>
      </w:pPr>
      <w:r>
        <w:rPr>
          <w:szCs w:val="24"/>
        </w:rPr>
        <w:fldChar w:fldCharType="begin"/>
      </w:r>
      <w:r>
        <w:rPr>
          <w:szCs w:val="24"/>
        </w:rPr>
        <w:instrText xml:space="preserve"> HYPERLINK \l _Toc8684 </w:instrText>
      </w:r>
      <w:r>
        <w:rPr>
          <w:szCs w:val="24"/>
        </w:rPr>
        <w:fldChar w:fldCharType="separate"/>
      </w:r>
      <w:r>
        <w:rPr>
          <w:rFonts w:hint="eastAsia" w:ascii="宋体" w:hAnsi="宋体" w:eastAsia="宋体"/>
        </w:rPr>
        <w:t>11．谈判报价</w:t>
      </w:r>
      <w:r>
        <w:tab/>
      </w:r>
      <w:r>
        <w:fldChar w:fldCharType="begin"/>
      </w:r>
      <w:r>
        <w:instrText xml:space="preserve"> PAGEREF _Toc8684 </w:instrText>
      </w:r>
      <w:r>
        <w:fldChar w:fldCharType="separate"/>
      </w:r>
      <w:r>
        <w:t>7</w:t>
      </w:r>
      <w:r>
        <w:fldChar w:fldCharType="end"/>
      </w:r>
      <w:r>
        <w:rPr>
          <w:szCs w:val="24"/>
        </w:rPr>
        <w:fldChar w:fldCharType="end"/>
      </w:r>
    </w:p>
    <w:p>
      <w:pPr>
        <w:pStyle w:val="36"/>
        <w:tabs>
          <w:tab w:val="right" w:leader="dot" w:pos="8312"/>
          <w:tab w:val="clear" w:pos="8540"/>
        </w:tabs>
      </w:pPr>
      <w:r>
        <w:rPr>
          <w:szCs w:val="24"/>
        </w:rPr>
        <w:fldChar w:fldCharType="begin"/>
      </w:r>
      <w:r>
        <w:rPr>
          <w:szCs w:val="24"/>
        </w:rPr>
        <w:instrText xml:space="preserve"> HYPERLINK \l _Toc21185 </w:instrText>
      </w:r>
      <w:r>
        <w:rPr>
          <w:szCs w:val="24"/>
        </w:rPr>
        <w:fldChar w:fldCharType="separate"/>
      </w:r>
      <w:r>
        <w:rPr>
          <w:rFonts w:hint="eastAsia" w:ascii="宋体" w:hAnsi="宋体" w:eastAsia="宋体"/>
        </w:rPr>
        <w:t>12 .谈判报价的货币</w:t>
      </w:r>
      <w:r>
        <w:tab/>
      </w:r>
      <w:r>
        <w:fldChar w:fldCharType="begin"/>
      </w:r>
      <w:r>
        <w:instrText xml:space="preserve"> PAGEREF _Toc21185 </w:instrText>
      </w:r>
      <w:r>
        <w:fldChar w:fldCharType="separate"/>
      </w:r>
      <w:r>
        <w:t>7</w:t>
      </w:r>
      <w:r>
        <w:fldChar w:fldCharType="end"/>
      </w:r>
      <w:r>
        <w:rPr>
          <w:szCs w:val="24"/>
        </w:rPr>
        <w:fldChar w:fldCharType="end"/>
      </w:r>
    </w:p>
    <w:p>
      <w:pPr>
        <w:pStyle w:val="36"/>
        <w:tabs>
          <w:tab w:val="right" w:leader="dot" w:pos="8312"/>
          <w:tab w:val="clear" w:pos="8540"/>
        </w:tabs>
      </w:pPr>
      <w:r>
        <w:rPr>
          <w:szCs w:val="24"/>
        </w:rPr>
        <w:fldChar w:fldCharType="begin"/>
      </w:r>
      <w:r>
        <w:rPr>
          <w:szCs w:val="24"/>
        </w:rPr>
        <w:instrText xml:space="preserve"> HYPERLINK \l _Toc16005 </w:instrText>
      </w:r>
      <w:r>
        <w:rPr>
          <w:szCs w:val="24"/>
        </w:rPr>
        <w:fldChar w:fldCharType="separate"/>
      </w:r>
      <w:r>
        <w:rPr>
          <w:rFonts w:hint="eastAsia" w:ascii="宋体" w:hAnsi="宋体" w:eastAsia="宋体"/>
        </w:rPr>
        <w:t>13 .竞争性谈判保证金</w:t>
      </w:r>
      <w:r>
        <w:tab/>
      </w:r>
      <w:r>
        <w:fldChar w:fldCharType="begin"/>
      </w:r>
      <w:r>
        <w:instrText xml:space="preserve"> PAGEREF _Toc16005 </w:instrText>
      </w:r>
      <w:r>
        <w:fldChar w:fldCharType="separate"/>
      </w:r>
      <w:r>
        <w:t>7</w:t>
      </w:r>
      <w:r>
        <w:fldChar w:fldCharType="end"/>
      </w:r>
      <w:r>
        <w:rPr>
          <w:szCs w:val="24"/>
        </w:rPr>
        <w:fldChar w:fldCharType="end"/>
      </w:r>
    </w:p>
    <w:p>
      <w:pPr>
        <w:pStyle w:val="36"/>
        <w:tabs>
          <w:tab w:val="right" w:leader="dot" w:pos="8312"/>
          <w:tab w:val="clear" w:pos="8540"/>
        </w:tabs>
      </w:pPr>
      <w:r>
        <w:rPr>
          <w:szCs w:val="24"/>
        </w:rPr>
        <w:fldChar w:fldCharType="begin"/>
      </w:r>
      <w:r>
        <w:rPr>
          <w:szCs w:val="24"/>
        </w:rPr>
        <w:instrText xml:space="preserve"> HYPERLINK \l _Toc9563 </w:instrText>
      </w:r>
      <w:r>
        <w:rPr>
          <w:szCs w:val="24"/>
        </w:rPr>
        <w:fldChar w:fldCharType="separate"/>
      </w:r>
      <w:r>
        <w:rPr>
          <w:rFonts w:hint="eastAsia" w:ascii="宋体" w:hAnsi="宋体" w:eastAsia="宋体"/>
        </w:rPr>
        <w:t>14．竞争性谈判有效期</w:t>
      </w:r>
      <w:r>
        <w:tab/>
      </w:r>
      <w:r>
        <w:fldChar w:fldCharType="begin"/>
      </w:r>
      <w:r>
        <w:instrText xml:space="preserve"> PAGEREF _Toc9563 </w:instrText>
      </w:r>
      <w:r>
        <w:fldChar w:fldCharType="separate"/>
      </w:r>
      <w:r>
        <w:t>8</w:t>
      </w:r>
      <w:r>
        <w:fldChar w:fldCharType="end"/>
      </w:r>
      <w:r>
        <w:rPr>
          <w:szCs w:val="24"/>
        </w:rPr>
        <w:fldChar w:fldCharType="end"/>
      </w:r>
    </w:p>
    <w:p>
      <w:pPr>
        <w:pStyle w:val="36"/>
        <w:tabs>
          <w:tab w:val="right" w:leader="dot" w:pos="8312"/>
          <w:tab w:val="clear" w:pos="8540"/>
        </w:tabs>
      </w:pPr>
      <w:r>
        <w:rPr>
          <w:szCs w:val="24"/>
        </w:rPr>
        <w:fldChar w:fldCharType="begin"/>
      </w:r>
      <w:r>
        <w:rPr>
          <w:szCs w:val="24"/>
        </w:rPr>
        <w:instrText xml:space="preserve"> HYPERLINK \l _Toc17314 </w:instrText>
      </w:r>
      <w:r>
        <w:rPr>
          <w:szCs w:val="24"/>
        </w:rPr>
        <w:fldChar w:fldCharType="separate"/>
      </w:r>
      <w:r>
        <w:rPr>
          <w:rFonts w:hint="eastAsia" w:ascii="宋体" w:hAnsi="宋体" w:eastAsia="宋体"/>
        </w:rPr>
        <w:t>15．谈判响应文件的签署及形式</w:t>
      </w:r>
      <w:r>
        <w:tab/>
      </w:r>
      <w:r>
        <w:fldChar w:fldCharType="begin"/>
      </w:r>
      <w:r>
        <w:instrText xml:space="preserve"> PAGEREF _Toc17314 </w:instrText>
      </w:r>
      <w:r>
        <w:fldChar w:fldCharType="separate"/>
      </w:r>
      <w:r>
        <w:t>8</w:t>
      </w:r>
      <w:r>
        <w:fldChar w:fldCharType="end"/>
      </w:r>
      <w:r>
        <w:rPr>
          <w:szCs w:val="24"/>
        </w:rPr>
        <w:fldChar w:fldCharType="end"/>
      </w:r>
    </w:p>
    <w:p>
      <w:pPr>
        <w:pStyle w:val="36"/>
        <w:tabs>
          <w:tab w:val="right" w:leader="dot" w:pos="8312"/>
          <w:tab w:val="clear" w:pos="8540"/>
        </w:tabs>
      </w:pPr>
      <w:r>
        <w:rPr>
          <w:szCs w:val="24"/>
        </w:rPr>
        <w:fldChar w:fldCharType="begin"/>
      </w:r>
      <w:r>
        <w:rPr>
          <w:szCs w:val="24"/>
        </w:rPr>
        <w:instrText xml:space="preserve"> HYPERLINK \l _Toc15590 </w:instrText>
      </w:r>
      <w:r>
        <w:rPr>
          <w:szCs w:val="24"/>
        </w:rPr>
        <w:fldChar w:fldCharType="separate"/>
      </w:r>
      <w:r>
        <w:rPr>
          <w:rFonts w:hint="eastAsia" w:ascii="宋体" w:hAnsi="宋体" w:eastAsia="宋体"/>
        </w:rPr>
        <w:t>四  谈判响应文件的递交</w:t>
      </w:r>
      <w:r>
        <w:tab/>
      </w:r>
      <w:r>
        <w:fldChar w:fldCharType="begin"/>
      </w:r>
      <w:r>
        <w:instrText xml:space="preserve"> PAGEREF _Toc15590 </w:instrText>
      </w:r>
      <w:r>
        <w:fldChar w:fldCharType="separate"/>
      </w:r>
      <w:r>
        <w:t>9</w:t>
      </w:r>
      <w:r>
        <w:fldChar w:fldCharType="end"/>
      </w:r>
      <w:r>
        <w:rPr>
          <w:szCs w:val="24"/>
        </w:rPr>
        <w:fldChar w:fldCharType="end"/>
      </w:r>
    </w:p>
    <w:p>
      <w:pPr>
        <w:pStyle w:val="36"/>
        <w:tabs>
          <w:tab w:val="right" w:leader="dot" w:pos="8312"/>
          <w:tab w:val="clear" w:pos="8540"/>
        </w:tabs>
      </w:pPr>
      <w:r>
        <w:rPr>
          <w:szCs w:val="24"/>
        </w:rPr>
        <w:fldChar w:fldCharType="begin"/>
      </w:r>
      <w:r>
        <w:rPr>
          <w:szCs w:val="24"/>
        </w:rPr>
        <w:instrText xml:space="preserve"> HYPERLINK \l _Toc12165 </w:instrText>
      </w:r>
      <w:r>
        <w:rPr>
          <w:szCs w:val="24"/>
        </w:rPr>
        <w:fldChar w:fldCharType="separate"/>
      </w:r>
      <w:r>
        <w:rPr>
          <w:rFonts w:hint="eastAsia" w:ascii="宋体" w:hAnsi="宋体" w:eastAsia="宋体"/>
        </w:rPr>
        <w:t>16．谈判响应文件的密封及标记</w:t>
      </w:r>
      <w:r>
        <w:tab/>
      </w:r>
      <w:r>
        <w:fldChar w:fldCharType="begin"/>
      </w:r>
      <w:r>
        <w:instrText xml:space="preserve"> PAGEREF _Toc12165 </w:instrText>
      </w:r>
      <w:r>
        <w:fldChar w:fldCharType="separate"/>
      </w:r>
      <w:r>
        <w:t>9</w:t>
      </w:r>
      <w:r>
        <w:fldChar w:fldCharType="end"/>
      </w:r>
      <w:r>
        <w:rPr>
          <w:szCs w:val="24"/>
        </w:rPr>
        <w:fldChar w:fldCharType="end"/>
      </w:r>
    </w:p>
    <w:p>
      <w:pPr>
        <w:pStyle w:val="36"/>
        <w:tabs>
          <w:tab w:val="right" w:leader="dot" w:pos="8312"/>
          <w:tab w:val="clear" w:pos="8540"/>
        </w:tabs>
      </w:pPr>
      <w:r>
        <w:rPr>
          <w:szCs w:val="24"/>
        </w:rPr>
        <w:fldChar w:fldCharType="begin"/>
      </w:r>
      <w:r>
        <w:rPr>
          <w:szCs w:val="24"/>
        </w:rPr>
        <w:instrText xml:space="preserve"> HYPERLINK \l _Toc27732 </w:instrText>
      </w:r>
      <w:r>
        <w:rPr>
          <w:szCs w:val="24"/>
        </w:rPr>
        <w:fldChar w:fldCharType="separate"/>
      </w:r>
      <w:r>
        <w:rPr>
          <w:rFonts w:hint="eastAsia" w:ascii="宋体" w:hAnsi="宋体" w:eastAsia="宋体"/>
        </w:rPr>
        <w:t>17．竞争性谈判响应文件递交截止时间</w:t>
      </w:r>
      <w:r>
        <w:tab/>
      </w:r>
      <w:r>
        <w:fldChar w:fldCharType="begin"/>
      </w:r>
      <w:r>
        <w:instrText xml:space="preserve"> PAGEREF _Toc27732 </w:instrText>
      </w:r>
      <w:r>
        <w:fldChar w:fldCharType="separate"/>
      </w:r>
      <w:r>
        <w:t>9</w:t>
      </w:r>
      <w:r>
        <w:fldChar w:fldCharType="end"/>
      </w:r>
      <w:r>
        <w:rPr>
          <w:szCs w:val="24"/>
        </w:rPr>
        <w:fldChar w:fldCharType="end"/>
      </w:r>
    </w:p>
    <w:p>
      <w:pPr>
        <w:pStyle w:val="36"/>
        <w:tabs>
          <w:tab w:val="right" w:leader="dot" w:pos="8312"/>
          <w:tab w:val="clear" w:pos="8540"/>
        </w:tabs>
      </w:pPr>
      <w:r>
        <w:rPr>
          <w:szCs w:val="24"/>
        </w:rPr>
        <w:fldChar w:fldCharType="begin"/>
      </w:r>
      <w:r>
        <w:rPr>
          <w:szCs w:val="24"/>
        </w:rPr>
        <w:instrText xml:space="preserve"> HYPERLINK \l _Toc10253 </w:instrText>
      </w:r>
      <w:r>
        <w:rPr>
          <w:szCs w:val="24"/>
        </w:rPr>
        <w:fldChar w:fldCharType="separate"/>
      </w:r>
      <w:r>
        <w:rPr>
          <w:rFonts w:hint="eastAsia" w:ascii="宋体" w:hAnsi="宋体" w:eastAsia="宋体"/>
        </w:rPr>
        <w:t>18．迟交的谈判响应文件</w:t>
      </w:r>
      <w:r>
        <w:tab/>
      </w:r>
      <w:r>
        <w:fldChar w:fldCharType="begin"/>
      </w:r>
      <w:r>
        <w:instrText xml:space="preserve"> PAGEREF _Toc10253 </w:instrText>
      </w:r>
      <w:r>
        <w:fldChar w:fldCharType="separate"/>
      </w:r>
      <w:r>
        <w:t>9</w:t>
      </w:r>
      <w:r>
        <w:fldChar w:fldCharType="end"/>
      </w:r>
      <w:r>
        <w:rPr>
          <w:szCs w:val="24"/>
        </w:rPr>
        <w:fldChar w:fldCharType="end"/>
      </w:r>
    </w:p>
    <w:p>
      <w:pPr>
        <w:pStyle w:val="36"/>
        <w:tabs>
          <w:tab w:val="right" w:leader="dot" w:pos="8312"/>
          <w:tab w:val="clear" w:pos="8540"/>
        </w:tabs>
      </w:pPr>
      <w:r>
        <w:rPr>
          <w:szCs w:val="24"/>
        </w:rPr>
        <w:fldChar w:fldCharType="begin"/>
      </w:r>
      <w:r>
        <w:rPr>
          <w:szCs w:val="24"/>
        </w:rPr>
        <w:instrText xml:space="preserve"> HYPERLINK \l _Toc19939 </w:instrText>
      </w:r>
      <w:r>
        <w:rPr>
          <w:szCs w:val="24"/>
        </w:rPr>
        <w:fldChar w:fldCharType="separate"/>
      </w:r>
      <w:r>
        <w:rPr>
          <w:rFonts w:hint="eastAsia" w:ascii="宋体" w:hAnsi="宋体" w:eastAsia="宋体"/>
        </w:rPr>
        <w:t>19．谈判响应文件的修改和撤回</w:t>
      </w:r>
      <w:r>
        <w:tab/>
      </w:r>
      <w:r>
        <w:fldChar w:fldCharType="begin"/>
      </w:r>
      <w:r>
        <w:instrText xml:space="preserve"> PAGEREF _Toc19939 </w:instrText>
      </w:r>
      <w:r>
        <w:fldChar w:fldCharType="separate"/>
      </w:r>
      <w:r>
        <w:t>9</w:t>
      </w:r>
      <w:r>
        <w:fldChar w:fldCharType="end"/>
      </w:r>
      <w:r>
        <w:rPr>
          <w:szCs w:val="24"/>
        </w:rPr>
        <w:fldChar w:fldCharType="end"/>
      </w:r>
    </w:p>
    <w:p>
      <w:pPr>
        <w:pStyle w:val="36"/>
        <w:tabs>
          <w:tab w:val="right" w:leader="dot" w:pos="8312"/>
          <w:tab w:val="clear" w:pos="8540"/>
        </w:tabs>
      </w:pPr>
      <w:r>
        <w:rPr>
          <w:szCs w:val="24"/>
        </w:rPr>
        <w:fldChar w:fldCharType="begin"/>
      </w:r>
      <w:r>
        <w:rPr>
          <w:szCs w:val="24"/>
        </w:rPr>
        <w:instrText xml:space="preserve"> HYPERLINK \l _Toc784 </w:instrText>
      </w:r>
      <w:r>
        <w:rPr>
          <w:szCs w:val="24"/>
        </w:rPr>
        <w:fldChar w:fldCharType="separate"/>
      </w:r>
      <w:r>
        <w:rPr>
          <w:rFonts w:hint="eastAsia" w:ascii="宋体" w:hAnsi="宋体" w:eastAsia="宋体"/>
        </w:rPr>
        <w:t>五  竞争性谈判及报价</w:t>
      </w:r>
      <w:r>
        <w:tab/>
      </w:r>
      <w:r>
        <w:fldChar w:fldCharType="begin"/>
      </w:r>
      <w:r>
        <w:instrText xml:space="preserve"> PAGEREF _Toc784 </w:instrText>
      </w:r>
      <w:r>
        <w:fldChar w:fldCharType="separate"/>
      </w:r>
      <w:r>
        <w:t>10</w:t>
      </w:r>
      <w:r>
        <w:fldChar w:fldCharType="end"/>
      </w:r>
      <w:r>
        <w:rPr>
          <w:szCs w:val="24"/>
        </w:rPr>
        <w:fldChar w:fldCharType="end"/>
      </w:r>
    </w:p>
    <w:p>
      <w:pPr>
        <w:pStyle w:val="36"/>
        <w:tabs>
          <w:tab w:val="right" w:leader="dot" w:pos="8312"/>
          <w:tab w:val="clear" w:pos="8540"/>
        </w:tabs>
      </w:pPr>
      <w:r>
        <w:rPr>
          <w:szCs w:val="24"/>
        </w:rPr>
        <w:fldChar w:fldCharType="begin"/>
      </w:r>
      <w:r>
        <w:rPr>
          <w:szCs w:val="24"/>
        </w:rPr>
        <w:instrText xml:space="preserve"> HYPERLINK \l _Toc6766 </w:instrText>
      </w:r>
      <w:r>
        <w:rPr>
          <w:szCs w:val="24"/>
        </w:rPr>
        <w:fldChar w:fldCharType="separate"/>
      </w:r>
      <w:r>
        <w:rPr>
          <w:rFonts w:hint="eastAsia" w:ascii="宋体" w:hAnsi="宋体" w:eastAsia="宋体"/>
        </w:rPr>
        <w:t>20．竞争性谈判报价</w:t>
      </w:r>
      <w:r>
        <w:tab/>
      </w:r>
      <w:r>
        <w:fldChar w:fldCharType="begin"/>
      </w:r>
      <w:r>
        <w:instrText xml:space="preserve"> PAGEREF _Toc6766 </w:instrText>
      </w:r>
      <w:r>
        <w:fldChar w:fldCharType="separate"/>
      </w:r>
      <w:r>
        <w:t>10</w:t>
      </w:r>
      <w:r>
        <w:fldChar w:fldCharType="end"/>
      </w:r>
      <w:r>
        <w:rPr>
          <w:szCs w:val="24"/>
        </w:rPr>
        <w:fldChar w:fldCharType="end"/>
      </w:r>
    </w:p>
    <w:p>
      <w:pPr>
        <w:pStyle w:val="36"/>
        <w:tabs>
          <w:tab w:val="right" w:leader="dot" w:pos="8312"/>
          <w:tab w:val="clear" w:pos="8540"/>
        </w:tabs>
      </w:pPr>
      <w:r>
        <w:rPr>
          <w:szCs w:val="24"/>
        </w:rPr>
        <w:fldChar w:fldCharType="begin"/>
      </w:r>
      <w:r>
        <w:rPr>
          <w:szCs w:val="24"/>
        </w:rPr>
        <w:instrText xml:space="preserve"> HYPERLINK \l _Toc28371 </w:instrText>
      </w:r>
      <w:r>
        <w:rPr>
          <w:szCs w:val="24"/>
        </w:rPr>
        <w:fldChar w:fldCharType="separate"/>
      </w:r>
      <w:r>
        <w:rPr>
          <w:rFonts w:hint="eastAsia" w:ascii="宋体" w:hAnsi="宋体" w:eastAsia="宋体"/>
        </w:rPr>
        <w:t>21．对谈判响应文件的资格性审查和符合性审查</w:t>
      </w:r>
      <w:r>
        <w:tab/>
      </w:r>
      <w:r>
        <w:fldChar w:fldCharType="begin"/>
      </w:r>
      <w:r>
        <w:instrText xml:space="preserve"> PAGEREF _Toc28371 </w:instrText>
      </w:r>
      <w:r>
        <w:fldChar w:fldCharType="separate"/>
      </w:r>
      <w:r>
        <w:t>11</w:t>
      </w:r>
      <w:r>
        <w:fldChar w:fldCharType="end"/>
      </w:r>
      <w:r>
        <w:rPr>
          <w:szCs w:val="24"/>
        </w:rPr>
        <w:fldChar w:fldCharType="end"/>
      </w:r>
    </w:p>
    <w:p>
      <w:pPr>
        <w:pStyle w:val="36"/>
        <w:tabs>
          <w:tab w:val="right" w:leader="dot" w:pos="8312"/>
          <w:tab w:val="clear" w:pos="8540"/>
        </w:tabs>
      </w:pPr>
      <w:r>
        <w:rPr>
          <w:szCs w:val="24"/>
        </w:rPr>
        <w:fldChar w:fldCharType="begin"/>
      </w:r>
      <w:r>
        <w:rPr>
          <w:szCs w:val="24"/>
        </w:rPr>
        <w:instrText xml:space="preserve"> HYPERLINK \l _Toc9369 </w:instrText>
      </w:r>
      <w:r>
        <w:rPr>
          <w:szCs w:val="24"/>
        </w:rPr>
        <w:fldChar w:fldCharType="separate"/>
      </w:r>
      <w:r>
        <w:rPr>
          <w:rFonts w:hint="eastAsia" w:ascii="宋体" w:hAnsi="宋体" w:eastAsia="宋体"/>
        </w:rPr>
        <w:t>22. 具体谈判工作流程</w:t>
      </w:r>
      <w:r>
        <w:tab/>
      </w:r>
      <w:r>
        <w:fldChar w:fldCharType="begin"/>
      </w:r>
      <w:r>
        <w:instrText xml:space="preserve"> PAGEREF _Toc9369 </w:instrText>
      </w:r>
      <w:r>
        <w:fldChar w:fldCharType="separate"/>
      </w:r>
      <w:r>
        <w:t>11</w:t>
      </w:r>
      <w:r>
        <w:fldChar w:fldCharType="end"/>
      </w:r>
      <w:r>
        <w:rPr>
          <w:szCs w:val="24"/>
        </w:rPr>
        <w:fldChar w:fldCharType="end"/>
      </w:r>
    </w:p>
    <w:p>
      <w:pPr>
        <w:pStyle w:val="36"/>
        <w:tabs>
          <w:tab w:val="right" w:leader="dot" w:pos="8312"/>
          <w:tab w:val="clear" w:pos="8540"/>
        </w:tabs>
      </w:pPr>
      <w:r>
        <w:rPr>
          <w:szCs w:val="24"/>
        </w:rPr>
        <w:fldChar w:fldCharType="begin"/>
      </w:r>
      <w:r>
        <w:rPr>
          <w:szCs w:val="24"/>
        </w:rPr>
        <w:instrText xml:space="preserve"> HYPERLINK \l _Toc8981 </w:instrText>
      </w:r>
      <w:r>
        <w:rPr>
          <w:szCs w:val="24"/>
        </w:rPr>
        <w:fldChar w:fldCharType="separate"/>
      </w:r>
      <w:r>
        <w:rPr>
          <w:rFonts w:hint="eastAsia" w:ascii="宋体" w:hAnsi="宋体" w:eastAsia="宋体"/>
        </w:rPr>
        <w:t>23．谈判响应文件的澄清</w:t>
      </w:r>
      <w:r>
        <w:tab/>
      </w:r>
      <w:r>
        <w:fldChar w:fldCharType="begin"/>
      </w:r>
      <w:r>
        <w:instrText xml:space="preserve"> PAGEREF _Toc8981 </w:instrText>
      </w:r>
      <w:r>
        <w:fldChar w:fldCharType="separate"/>
      </w:r>
      <w:r>
        <w:t>12</w:t>
      </w:r>
      <w:r>
        <w:fldChar w:fldCharType="end"/>
      </w:r>
      <w:r>
        <w:rPr>
          <w:szCs w:val="24"/>
        </w:rPr>
        <w:fldChar w:fldCharType="end"/>
      </w:r>
    </w:p>
    <w:p>
      <w:pPr>
        <w:pStyle w:val="36"/>
        <w:tabs>
          <w:tab w:val="right" w:leader="dot" w:pos="8312"/>
          <w:tab w:val="clear" w:pos="8540"/>
        </w:tabs>
      </w:pPr>
      <w:r>
        <w:rPr>
          <w:szCs w:val="24"/>
        </w:rPr>
        <w:fldChar w:fldCharType="begin"/>
      </w:r>
      <w:r>
        <w:rPr>
          <w:szCs w:val="24"/>
        </w:rPr>
        <w:instrText xml:space="preserve"> HYPERLINK \l _Toc24107 </w:instrText>
      </w:r>
      <w:r>
        <w:rPr>
          <w:szCs w:val="24"/>
        </w:rPr>
        <w:fldChar w:fldCharType="separate"/>
      </w:r>
      <w:r>
        <w:rPr>
          <w:rFonts w:hint="eastAsia" w:ascii="宋体" w:hAnsi="宋体" w:eastAsia="宋体"/>
        </w:rPr>
        <w:t>24．确定成交供应商</w:t>
      </w:r>
      <w:r>
        <w:tab/>
      </w:r>
      <w:r>
        <w:fldChar w:fldCharType="begin"/>
      </w:r>
      <w:r>
        <w:instrText xml:space="preserve"> PAGEREF _Toc24107 </w:instrText>
      </w:r>
      <w:r>
        <w:fldChar w:fldCharType="separate"/>
      </w:r>
      <w:r>
        <w:t>12</w:t>
      </w:r>
      <w:r>
        <w:fldChar w:fldCharType="end"/>
      </w:r>
      <w:r>
        <w:rPr>
          <w:szCs w:val="24"/>
        </w:rPr>
        <w:fldChar w:fldCharType="end"/>
      </w:r>
    </w:p>
    <w:p>
      <w:pPr>
        <w:pStyle w:val="36"/>
        <w:tabs>
          <w:tab w:val="right" w:leader="dot" w:pos="8312"/>
          <w:tab w:val="clear" w:pos="8540"/>
        </w:tabs>
      </w:pPr>
      <w:r>
        <w:rPr>
          <w:szCs w:val="24"/>
        </w:rPr>
        <w:fldChar w:fldCharType="begin"/>
      </w:r>
      <w:r>
        <w:rPr>
          <w:szCs w:val="24"/>
        </w:rPr>
        <w:instrText xml:space="preserve"> HYPERLINK \l _Toc1913 </w:instrText>
      </w:r>
      <w:r>
        <w:rPr>
          <w:szCs w:val="24"/>
        </w:rPr>
        <w:fldChar w:fldCharType="separate"/>
      </w:r>
      <w:r>
        <w:rPr>
          <w:rFonts w:hint="eastAsia" w:ascii="宋体" w:hAnsi="宋体" w:eastAsia="宋体"/>
        </w:rPr>
        <w:t>25．谈判过程保密</w:t>
      </w:r>
      <w:r>
        <w:tab/>
      </w:r>
      <w:r>
        <w:fldChar w:fldCharType="begin"/>
      </w:r>
      <w:r>
        <w:instrText xml:space="preserve"> PAGEREF _Toc1913 </w:instrText>
      </w:r>
      <w:r>
        <w:fldChar w:fldCharType="separate"/>
      </w:r>
      <w:r>
        <w:t>12</w:t>
      </w:r>
      <w:r>
        <w:fldChar w:fldCharType="end"/>
      </w:r>
      <w:r>
        <w:rPr>
          <w:szCs w:val="24"/>
        </w:rPr>
        <w:fldChar w:fldCharType="end"/>
      </w:r>
    </w:p>
    <w:p>
      <w:pPr>
        <w:pStyle w:val="36"/>
        <w:tabs>
          <w:tab w:val="right" w:leader="dot" w:pos="8312"/>
          <w:tab w:val="clear" w:pos="8540"/>
        </w:tabs>
      </w:pPr>
      <w:r>
        <w:rPr>
          <w:szCs w:val="24"/>
        </w:rPr>
        <w:fldChar w:fldCharType="begin"/>
      </w:r>
      <w:r>
        <w:rPr>
          <w:szCs w:val="24"/>
        </w:rPr>
        <w:instrText xml:space="preserve"> HYPERLINK \l _Toc16712 </w:instrText>
      </w:r>
      <w:r>
        <w:rPr>
          <w:szCs w:val="24"/>
        </w:rPr>
        <w:fldChar w:fldCharType="separate"/>
      </w:r>
      <w:r>
        <w:rPr>
          <w:rFonts w:hint="eastAsia" w:ascii="宋体" w:hAnsi="宋体" w:eastAsia="宋体"/>
        </w:rPr>
        <w:t>26．谈判供应商不足三家的处理</w:t>
      </w:r>
      <w:r>
        <w:tab/>
      </w:r>
      <w:r>
        <w:fldChar w:fldCharType="begin"/>
      </w:r>
      <w:r>
        <w:instrText xml:space="preserve"> PAGEREF _Toc16712 </w:instrText>
      </w:r>
      <w:r>
        <w:fldChar w:fldCharType="separate"/>
      </w:r>
      <w:r>
        <w:t>13</w:t>
      </w:r>
      <w:r>
        <w:fldChar w:fldCharType="end"/>
      </w:r>
      <w:r>
        <w:rPr>
          <w:szCs w:val="24"/>
        </w:rPr>
        <w:fldChar w:fldCharType="end"/>
      </w:r>
    </w:p>
    <w:p>
      <w:pPr>
        <w:pStyle w:val="36"/>
        <w:tabs>
          <w:tab w:val="right" w:leader="dot" w:pos="8312"/>
          <w:tab w:val="clear" w:pos="8540"/>
        </w:tabs>
      </w:pPr>
      <w:r>
        <w:rPr>
          <w:szCs w:val="24"/>
        </w:rPr>
        <w:fldChar w:fldCharType="begin"/>
      </w:r>
      <w:r>
        <w:rPr>
          <w:szCs w:val="24"/>
        </w:rPr>
        <w:instrText xml:space="preserve"> HYPERLINK \l _Toc25188 </w:instrText>
      </w:r>
      <w:r>
        <w:rPr>
          <w:szCs w:val="24"/>
        </w:rPr>
        <w:fldChar w:fldCharType="separate"/>
      </w:r>
      <w:r>
        <w:rPr>
          <w:rFonts w:hint="eastAsia" w:ascii="宋体" w:hAnsi="宋体" w:eastAsia="宋体"/>
        </w:rPr>
        <w:t>六  确定成交供应商及签约</w:t>
      </w:r>
      <w:r>
        <w:tab/>
      </w:r>
      <w:r>
        <w:fldChar w:fldCharType="begin"/>
      </w:r>
      <w:r>
        <w:instrText xml:space="preserve"> PAGEREF _Toc25188 </w:instrText>
      </w:r>
      <w:r>
        <w:fldChar w:fldCharType="separate"/>
      </w:r>
      <w:r>
        <w:t>13</w:t>
      </w:r>
      <w:r>
        <w:fldChar w:fldCharType="end"/>
      </w:r>
      <w:r>
        <w:rPr>
          <w:szCs w:val="24"/>
        </w:rPr>
        <w:fldChar w:fldCharType="end"/>
      </w:r>
    </w:p>
    <w:p>
      <w:pPr>
        <w:pStyle w:val="36"/>
        <w:tabs>
          <w:tab w:val="right" w:leader="dot" w:pos="8312"/>
          <w:tab w:val="clear" w:pos="8540"/>
        </w:tabs>
      </w:pPr>
      <w:r>
        <w:rPr>
          <w:szCs w:val="24"/>
        </w:rPr>
        <w:fldChar w:fldCharType="begin"/>
      </w:r>
      <w:r>
        <w:rPr>
          <w:szCs w:val="24"/>
        </w:rPr>
        <w:instrText xml:space="preserve"> HYPERLINK \l _Toc1130 </w:instrText>
      </w:r>
      <w:r>
        <w:rPr>
          <w:szCs w:val="24"/>
        </w:rPr>
        <w:fldChar w:fldCharType="separate"/>
      </w:r>
      <w:r>
        <w:rPr>
          <w:rFonts w:hint="eastAsia" w:ascii="宋体" w:hAnsi="宋体" w:eastAsia="宋体"/>
        </w:rPr>
        <w:t>27．确定成交供应商的原则</w:t>
      </w:r>
      <w:r>
        <w:tab/>
      </w:r>
      <w:r>
        <w:fldChar w:fldCharType="begin"/>
      </w:r>
      <w:r>
        <w:instrText xml:space="preserve"> PAGEREF _Toc1130 </w:instrText>
      </w:r>
      <w:r>
        <w:fldChar w:fldCharType="separate"/>
      </w:r>
      <w:r>
        <w:t>13</w:t>
      </w:r>
      <w:r>
        <w:fldChar w:fldCharType="end"/>
      </w:r>
      <w:r>
        <w:rPr>
          <w:szCs w:val="24"/>
        </w:rPr>
        <w:fldChar w:fldCharType="end"/>
      </w:r>
    </w:p>
    <w:p>
      <w:pPr>
        <w:pStyle w:val="36"/>
        <w:tabs>
          <w:tab w:val="right" w:leader="dot" w:pos="8312"/>
          <w:tab w:val="clear" w:pos="8540"/>
        </w:tabs>
      </w:pPr>
      <w:r>
        <w:rPr>
          <w:szCs w:val="24"/>
        </w:rPr>
        <w:fldChar w:fldCharType="begin"/>
      </w:r>
      <w:r>
        <w:rPr>
          <w:szCs w:val="24"/>
        </w:rPr>
        <w:instrText xml:space="preserve"> HYPERLINK \l _Toc31609 </w:instrText>
      </w:r>
      <w:r>
        <w:rPr>
          <w:szCs w:val="24"/>
        </w:rPr>
        <w:fldChar w:fldCharType="separate"/>
      </w:r>
      <w:r>
        <w:rPr>
          <w:rFonts w:hint="eastAsia" w:ascii="宋体" w:hAnsi="宋体" w:eastAsia="宋体"/>
        </w:rPr>
        <w:t>28. 质疑处理</w:t>
      </w:r>
      <w:r>
        <w:tab/>
      </w:r>
      <w:r>
        <w:fldChar w:fldCharType="begin"/>
      </w:r>
      <w:r>
        <w:instrText xml:space="preserve"> PAGEREF _Toc31609 </w:instrText>
      </w:r>
      <w:r>
        <w:fldChar w:fldCharType="separate"/>
      </w:r>
      <w:r>
        <w:t>13</w:t>
      </w:r>
      <w:r>
        <w:fldChar w:fldCharType="end"/>
      </w:r>
      <w:r>
        <w:rPr>
          <w:szCs w:val="24"/>
        </w:rPr>
        <w:fldChar w:fldCharType="end"/>
      </w:r>
    </w:p>
    <w:p>
      <w:pPr>
        <w:pStyle w:val="36"/>
        <w:tabs>
          <w:tab w:val="right" w:leader="dot" w:pos="8312"/>
          <w:tab w:val="clear" w:pos="8540"/>
        </w:tabs>
      </w:pPr>
      <w:r>
        <w:rPr>
          <w:szCs w:val="24"/>
        </w:rPr>
        <w:fldChar w:fldCharType="begin"/>
      </w:r>
      <w:r>
        <w:rPr>
          <w:szCs w:val="24"/>
        </w:rPr>
        <w:instrText xml:space="preserve"> HYPERLINK \l _Toc30547 </w:instrText>
      </w:r>
      <w:r>
        <w:rPr>
          <w:szCs w:val="24"/>
        </w:rPr>
        <w:fldChar w:fldCharType="separate"/>
      </w:r>
      <w:r>
        <w:rPr>
          <w:rFonts w:hint="eastAsia" w:ascii="宋体" w:hAnsi="宋体" w:eastAsia="宋体"/>
        </w:rPr>
        <w:t>29．签订合同</w:t>
      </w:r>
      <w:r>
        <w:tab/>
      </w:r>
      <w:r>
        <w:fldChar w:fldCharType="begin"/>
      </w:r>
      <w:r>
        <w:instrText xml:space="preserve"> PAGEREF _Toc30547 </w:instrText>
      </w:r>
      <w:r>
        <w:fldChar w:fldCharType="separate"/>
      </w:r>
      <w:r>
        <w:t>14</w:t>
      </w:r>
      <w:r>
        <w:fldChar w:fldCharType="end"/>
      </w:r>
      <w:r>
        <w:rPr>
          <w:szCs w:val="24"/>
        </w:rPr>
        <w:fldChar w:fldCharType="end"/>
      </w:r>
    </w:p>
    <w:p>
      <w:pPr>
        <w:pStyle w:val="30"/>
        <w:tabs>
          <w:tab w:val="right" w:leader="dot" w:pos="8312"/>
        </w:tabs>
      </w:pPr>
      <w:r>
        <w:rPr>
          <w:szCs w:val="24"/>
        </w:rPr>
        <w:fldChar w:fldCharType="begin"/>
      </w:r>
      <w:r>
        <w:rPr>
          <w:szCs w:val="24"/>
        </w:rPr>
        <w:instrText xml:space="preserve"> HYPERLINK \l _Toc14180 </w:instrText>
      </w:r>
      <w:r>
        <w:rPr>
          <w:szCs w:val="24"/>
        </w:rPr>
        <w:fldChar w:fldCharType="separate"/>
      </w:r>
      <w:r>
        <w:rPr>
          <w:rFonts w:hint="eastAsia" w:hAnsi="宋体"/>
        </w:rPr>
        <w:t>第二章  采购清单</w:t>
      </w:r>
      <w:r>
        <w:tab/>
      </w:r>
      <w:r>
        <w:fldChar w:fldCharType="begin"/>
      </w:r>
      <w:r>
        <w:instrText xml:space="preserve"> PAGEREF _Toc14180 </w:instrText>
      </w:r>
      <w:r>
        <w:fldChar w:fldCharType="separate"/>
      </w:r>
      <w:r>
        <w:t>14</w:t>
      </w:r>
      <w:r>
        <w:fldChar w:fldCharType="end"/>
      </w:r>
      <w:r>
        <w:rPr>
          <w:szCs w:val="24"/>
        </w:rPr>
        <w:fldChar w:fldCharType="end"/>
      </w:r>
    </w:p>
    <w:p>
      <w:pPr>
        <w:pStyle w:val="23"/>
        <w:tabs>
          <w:tab w:val="right" w:leader="dot" w:pos="8312"/>
          <w:tab w:val="clear" w:pos="8540"/>
        </w:tabs>
      </w:pPr>
      <w:r>
        <w:rPr>
          <w:szCs w:val="24"/>
        </w:rPr>
        <w:fldChar w:fldCharType="begin"/>
      </w:r>
      <w:r>
        <w:rPr>
          <w:szCs w:val="24"/>
        </w:rPr>
        <w:instrText xml:space="preserve"> HYPERLINK \l _Toc6212 </w:instrText>
      </w:r>
      <w:r>
        <w:rPr>
          <w:szCs w:val="24"/>
        </w:rPr>
        <w:fldChar w:fldCharType="separate"/>
      </w:r>
      <w:r>
        <w:rPr>
          <w:rFonts w:hint="eastAsia"/>
        </w:rPr>
        <w:t>一、采购技术需求</w:t>
      </w:r>
      <w:r>
        <w:tab/>
      </w:r>
      <w:r>
        <w:fldChar w:fldCharType="begin"/>
      </w:r>
      <w:r>
        <w:instrText xml:space="preserve"> PAGEREF _Toc6212 </w:instrText>
      </w:r>
      <w:r>
        <w:fldChar w:fldCharType="separate"/>
      </w:r>
      <w:r>
        <w:t>15</w:t>
      </w:r>
      <w:r>
        <w:fldChar w:fldCharType="end"/>
      </w:r>
      <w:r>
        <w:rPr>
          <w:szCs w:val="24"/>
        </w:rPr>
        <w:fldChar w:fldCharType="end"/>
      </w:r>
    </w:p>
    <w:p>
      <w:pPr>
        <w:pStyle w:val="36"/>
        <w:tabs>
          <w:tab w:val="right" w:leader="dot" w:pos="8312"/>
          <w:tab w:val="clear" w:pos="8540"/>
        </w:tabs>
      </w:pPr>
      <w:r>
        <w:rPr>
          <w:szCs w:val="24"/>
        </w:rPr>
        <w:fldChar w:fldCharType="begin"/>
      </w:r>
      <w:r>
        <w:rPr>
          <w:szCs w:val="24"/>
        </w:rPr>
        <w:instrText xml:space="preserve"> HYPERLINK \l _Toc7829 </w:instrText>
      </w:r>
      <w:r>
        <w:rPr>
          <w:szCs w:val="24"/>
        </w:rPr>
        <w:fldChar w:fldCharType="separate"/>
      </w:r>
      <w:r>
        <w:rPr>
          <w:rFonts w:hint="eastAsia"/>
        </w:rPr>
        <w:t>分包2：公共预算编制-审议-执行-决算模拟软件</w:t>
      </w:r>
      <w:r>
        <w:tab/>
      </w:r>
      <w:r>
        <w:fldChar w:fldCharType="begin"/>
      </w:r>
      <w:r>
        <w:instrText xml:space="preserve"> PAGEREF _Toc7829 </w:instrText>
      </w:r>
      <w:r>
        <w:fldChar w:fldCharType="separate"/>
      </w:r>
      <w:r>
        <w:t>15</w:t>
      </w:r>
      <w:r>
        <w:fldChar w:fldCharType="end"/>
      </w:r>
      <w:r>
        <w:rPr>
          <w:szCs w:val="24"/>
        </w:rPr>
        <w:fldChar w:fldCharType="end"/>
      </w:r>
    </w:p>
    <w:p>
      <w:pPr>
        <w:pStyle w:val="36"/>
        <w:tabs>
          <w:tab w:val="right" w:leader="dot" w:pos="8312"/>
          <w:tab w:val="clear" w:pos="8540"/>
        </w:tabs>
      </w:pPr>
      <w:r>
        <w:rPr>
          <w:szCs w:val="24"/>
        </w:rPr>
        <w:fldChar w:fldCharType="begin"/>
      </w:r>
      <w:r>
        <w:rPr>
          <w:szCs w:val="24"/>
        </w:rPr>
        <w:instrText xml:space="preserve"> HYPERLINK \l _Toc11331 </w:instrText>
      </w:r>
      <w:r>
        <w:rPr>
          <w:szCs w:val="24"/>
        </w:rPr>
        <w:fldChar w:fldCharType="separate"/>
      </w:r>
      <w:r>
        <w:rPr>
          <w:rFonts w:hint="eastAsia"/>
        </w:rPr>
        <w:t>分包4：计算机辅助调查系统</w:t>
      </w:r>
      <w:r>
        <w:tab/>
      </w:r>
      <w:r>
        <w:fldChar w:fldCharType="begin"/>
      </w:r>
      <w:r>
        <w:instrText xml:space="preserve"> PAGEREF _Toc11331 </w:instrText>
      </w:r>
      <w:r>
        <w:fldChar w:fldCharType="separate"/>
      </w:r>
      <w:r>
        <w:t>15</w:t>
      </w:r>
      <w:r>
        <w:fldChar w:fldCharType="end"/>
      </w:r>
      <w:r>
        <w:rPr>
          <w:szCs w:val="24"/>
        </w:rPr>
        <w:fldChar w:fldCharType="end"/>
      </w:r>
    </w:p>
    <w:p>
      <w:pPr>
        <w:pStyle w:val="23"/>
        <w:tabs>
          <w:tab w:val="right" w:leader="dot" w:pos="8312"/>
          <w:tab w:val="clear" w:pos="8540"/>
        </w:tabs>
      </w:pPr>
      <w:r>
        <w:rPr>
          <w:szCs w:val="24"/>
        </w:rPr>
        <w:fldChar w:fldCharType="begin"/>
      </w:r>
      <w:r>
        <w:rPr>
          <w:szCs w:val="24"/>
        </w:rPr>
        <w:instrText xml:space="preserve"> HYPERLINK \l _Toc3849 </w:instrText>
      </w:r>
      <w:r>
        <w:rPr>
          <w:szCs w:val="24"/>
        </w:rPr>
        <w:fldChar w:fldCharType="separate"/>
      </w:r>
      <w:r>
        <w:rPr>
          <w:rFonts w:hint="eastAsia"/>
        </w:rPr>
        <w:t>二、其他要求</w:t>
      </w:r>
      <w:r>
        <w:tab/>
      </w:r>
      <w:r>
        <w:fldChar w:fldCharType="begin"/>
      </w:r>
      <w:r>
        <w:instrText xml:space="preserve"> PAGEREF _Toc3849 </w:instrText>
      </w:r>
      <w:r>
        <w:fldChar w:fldCharType="separate"/>
      </w:r>
      <w:r>
        <w:t>17</w:t>
      </w:r>
      <w:r>
        <w:fldChar w:fldCharType="end"/>
      </w:r>
      <w:r>
        <w:rPr>
          <w:szCs w:val="24"/>
        </w:rPr>
        <w:fldChar w:fldCharType="end"/>
      </w:r>
    </w:p>
    <w:p>
      <w:pPr>
        <w:pStyle w:val="30"/>
        <w:tabs>
          <w:tab w:val="right" w:leader="dot" w:pos="8312"/>
        </w:tabs>
      </w:pPr>
      <w:r>
        <w:rPr>
          <w:szCs w:val="24"/>
        </w:rPr>
        <w:fldChar w:fldCharType="begin"/>
      </w:r>
      <w:r>
        <w:rPr>
          <w:szCs w:val="24"/>
        </w:rPr>
        <w:instrText xml:space="preserve"> HYPERLINK \l _Toc14901 </w:instrText>
      </w:r>
      <w:r>
        <w:rPr>
          <w:szCs w:val="24"/>
        </w:rPr>
        <w:fldChar w:fldCharType="separate"/>
      </w:r>
      <w:r>
        <w:rPr>
          <w:rFonts w:hint="eastAsia" w:hAnsi="宋体"/>
        </w:rPr>
        <w:t>第三章 合同条款</w:t>
      </w:r>
      <w:r>
        <w:tab/>
      </w:r>
      <w:r>
        <w:fldChar w:fldCharType="begin"/>
      </w:r>
      <w:r>
        <w:instrText xml:space="preserve"> PAGEREF _Toc14901 </w:instrText>
      </w:r>
      <w:r>
        <w:fldChar w:fldCharType="separate"/>
      </w:r>
      <w:r>
        <w:t>17</w:t>
      </w:r>
      <w:r>
        <w:fldChar w:fldCharType="end"/>
      </w:r>
      <w:r>
        <w:rPr>
          <w:szCs w:val="24"/>
        </w:rPr>
        <w:fldChar w:fldCharType="end"/>
      </w:r>
    </w:p>
    <w:p>
      <w:pPr>
        <w:pStyle w:val="30"/>
        <w:tabs>
          <w:tab w:val="right" w:leader="dot" w:pos="8312"/>
        </w:tabs>
      </w:pPr>
      <w:r>
        <w:rPr>
          <w:szCs w:val="24"/>
        </w:rPr>
        <w:fldChar w:fldCharType="begin"/>
      </w:r>
      <w:r>
        <w:rPr>
          <w:szCs w:val="24"/>
        </w:rPr>
        <w:instrText xml:space="preserve"> HYPERLINK \l _Toc6506 </w:instrText>
      </w:r>
      <w:r>
        <w:rPr>
          <w:szCs w:val="24"/>
        </w:rPr>
        <w:fldChar w:fldCharType="separate"/>
      </w:r>
      <w:r>
        <w:rPr>
          <w:rFonts w:hint="eastAsia" w:hAnsi="宋体"/>
        </w:rPr>
        <w:t>第四章  谈判响应文件格式</w:t>
      </w:r>
      <w:r>
        <w:tab/>
      </w:r>
      <w:r>
        <w:fldChar w:fldCharType="begin"/>
      </w:r>
      <w:r>
        <w:instrText xml:space="preserve"> PAGEREF _Toc6506 </w:instrText>
      </w:r>
      <w:r>
        <w:fldChar w:fldCharType="separate"/>
      </w:r>
      <w:r>
        <w:t>24</w:t>
      </w:r>
      <w:r>
        <w:fldChar w:fldCharType="end"/>
      </w:r>
      <w:r>
        <w:rPr>
          <w:szCs w:val="24"/>
        </w:rPr>
        <w:fldChar w:fldCharType="end"/>
      </w:r>
    </w:p>
    <w:p>
      <w:pPr>
        <w:pStyle w:val="36"/>
        <w:tabs>
          <w:tab w:val="right" w:leader="dot" w:pos="8312"/>
          <w:tab w:val="clear" w:pos="8540"/>
        </w:tabs>
      </w:pPr>
      <w:r>
        <w:rPr>
          <w:szCs w:val="24"/>
        </w:rPr>
        <w:fldChar w:fldCharType="begin"/>
      </w:r>
      <w:r>
        <w:rPr>
          <w:szCs w:val="24"/>
        </w:rPr>
        <w:instrText xml:space="preserve"> HYPERLINK \l _Toc2063 </w:instrText>
      </w:r>
      <w:r>
        <w:rPr>
          <w:szCs w:val="24"/>
        </w:rPr>
        <w:fldChar w:fldCharType="separate"/>
      </w:r>
      <w:r>
        <w:rPr>
          <w:rFonts w:hint="eastAsia" w:ascii="宋体" w:hAnsi="宋体" w:eastAsia="宋体"/>
        </w:rPr>
        <w:t>一、谈判函、谈判报价及项目相关文件</w:t>
      </w:r>
      <w:r>
        <w:tab/>
      </w:r>
      <w:r>
        <w:fldChar w:fldCharType="begin"/>
      </w:r>
      <w:r>
        <w:instrText xml:space="preserve"> PAGEREF _Toc2063 </w:instrText>
      </w:r>
      <w:r>
        <w:fldChar w:fldCharType="separate"/>
      </w:r>
      <w:r>
        <w:t>24</w:t>
      </w:r>
      <w:r>
        <w:fldChar w:fldCharType="end"/>
      </w:r>
      <w:r>
        <w:rPr>
          <w:szCs w:val="24"/>
        </w:rPr>
        <w:fldChar w:fldCharType="end"/>
      </w:r>
    </w:p>
    <w:p>
      <w:pPr>
        <w:pStyle w:val="23"/>
        <w:tabs>
          <w:tab w:val="right" w:leader="dot" w:pos="8312"/>
          <w:tab w:val="clear" w:pos="8540"/>
        </w:tabs>
      </w:pPr>
      <w:r>
        <w:rPr>
          <w:szCs w:val="24"/>
        </w:rPr>
        <w:fldChar w:fldCharType="begin"/>
      </w:r>
      <w:r>
        <w:rPr>
          <w:szCs w:val="24"/>
        </w:rPr>
        <w:instrText xml:space="preserve"> HYPERLINK \l _Toc19457 </w:instrText>
      </w:r>
      <w:r>
        <w:rPr>
          <w:szCs w:val="24"/>
        </w:rPr>
        <w:fldChar w:fldCharType="separate"/>
      </w:r>
      <w:r>
        <w:rPr>
          <w:rFonts w:hint="eastAsia" w:hAnsi="宋体"/>
          <w:kern w:val="2"/>
          <w:szCs w:val="30"/>
        </w:rPr>
        <w:t>1.竞争性谈判函</w:t>
      </w:r>
      <w:r>
        <w:tab/>
      </w:r>
      <w:r>
        <w:fldChar w:fldCharType="begin"/>
      </w:r>
      <w:r>
        <w:instrText xml:space="preserve"> PAGEREF _Toc19457 </w:instrText>
      </w:r>
      <w:r>
        <w:fldChar w:fldCharType="separate"/>
      </w:r>
      <w:r>
        <w:t>24</w:t>
      </w:r>
      <w:r>
        <w:fldChar w:fldCharType="end"/>
      </w:r>
      <w:r>
        <w:rPr>
          <w:szCs w:val="24"/>
        </w:rPr>
        <w:fldChar w:fldCharType="end"/>
      </w:r>
    </w:p>
    <w:p>
      <w:pPr>
        <w:pStyle w:val="23"/>
        <w:tabs>
          <w:tab w:val="right" w:leader="dot" w:pos="8312"/>
          <w:tab w:val="clear" w:pos="8540"/>
        </w:tabs>
      </w:pPr>
      <w:r>
        <w:rPr>
          <w:szCs w:val="24"/>
        </w:rPr>
        <w:fldChar w:fldCharType="begin"/>
      </w:r>
      <w:r>
        <w:rPr>
          <w:szCs w:val="24"/>
        </w:rPr>
        <w:instrText xml:space="preserve"> HYPERLINK \l _Toc29308 </w:instrText>
      </w:r>
      <w:r>
        <w:rPr>
          <w:szCs w:val="24"/>
        </w:rPr>
        <w:fldChar w:fldCharType="separate"/>
      </w:r>
      <w:r>
        <w:rPr>
          <w:rFonts w:hint="eastAsia" w:hAnsi="宋体"/>
        </w:rPr>
        <w:t>2.报价一览表</w:t>
      </w:r>
      <w:r>
        <w:tab/>
      </w:r>
      <w:r>
        <w:fldChar w:fldCharType="begin"/>
      </w:r>
      <w:r>
        <w:instrText xml:space="preserve"> PAGEREF _Toc29308 </w:instrText>
      </w:r>
      <w:r>
        <w:fldChar w:fldCharType="separate"/>
      </w:r>
      <w:r>
        <w:t>24</w:t>
      </w:r>
      <w:r>
        <w:fldChar w:fldCharType="end"/>
      </w:r>
      <w:r>
        <w:rPr>
          <w:szCs w:val="24"/>
        </w:rPr>
        <w:fldChar w:fldCharType="end"/>
      </w:r>
    </w:p>
    <w:p>
      <w:pPr>
        <w:pStyle w:val="23"/>
        <w:tabs>
          <w:tab w:val="right" w:leader="dot" w:pos="8312"/>
          <w:tab w:val="clear" w:pos="8540"/>
        </w:tabs>
      </w:pPr>
      <w:r>
        <w:rPr>
          <w:szCs w:val="24"/>
        </w:rPr>
        <w:fldChar w:fldCharType="begin"/>
      </w:r>
      <w:r>
        <w:rPr>
          <w:szCs w:val="24"/>
        </w:rPr>
        <w:instrText xml:space="preserve"> HYPERLINK \l _Toc584 </w:instrText>
      </w:r>
      <w:r>
        <w:rPr>
          <w:szCs w:val="24"/>
        </w:rPr>
        <w:fldChar w:fldCharType="separate"/>
      </w:r>
      <w:r>
        <w:rPr>
          <w:rFonts w:hint="eastAsia" w:hAnsi="宋体"/>
        </w:rPr>
        <w:t>3</w:t>
      </w:r>
      <w:r>
        <w:rPr>
          <w:rFonts w:hAnsi="宋体"/>
        </w:rPr>
        <w:t>.</w:t>
      </w:r>
      <w:r>
        <w:rPr>
          <w:rFonts w:hint="eastAsia" w:hAnsi="宋体"/>
        </w:rPr>
        <w:t>谈判</w:t>
      </w:r>
      <w:r>
        <w:rPr>
          <w:rFonts w:hAnsi="宋体"/>
        </w:rPr>
        <w:t>报价明细表</w:t>
      </w:r>
      <w:r>
        <w:tab/>
      </w:r>
      <w:r>
        <w:fldChar w:fldCharType="begin"/>
      </w:r>
      <w:r>
        <w:instrText xml:space="preserve"> PAGEREF _Toc584 </w:instrText>
      </w:r>
      <w:r>
        <w:fldChar w:fldCharType="separate"/>
      </w:r>
      <w:r>
        <w:t>25</w:t>
      </w:r>
      <w:r>
        <w:fldChar w:fldCharType="end"/>
      </w:r>
      <w:r>
        <w:rPr>
          <w:szCs w:val="24"/>
        </w:rPr>
        <w:fldChar w:fldCharType="end"/>
      </w:r>
    </w:p>
    <w:p>
      <w:pPr>
        <w:pStyle w:val="23"/>
        <w:tabs>
          <w:tab w:val="right" w:leader="dot" w:pos="8312"/>
          <w:tab w:val="clear" w:pos="8540"/>
        </w:tabs>
      </w:pPr>
      <w:r>
        <w:rPr>
          <w:szCs w:val="24"/>
        </w:rPr>
        <w:fldChar w:fldCharType="begin"/>
      </w:r>
      <w:r>
        <w:rPr>
          <w:szCs w:val="24"/>
        </w:rPr>
        <w:instrText xml:space="preserve"> HYPERLINK \l _Toc31387 </w:instrText>
      </w:r>
      <w:r>
        <w:rPr>
          <w:szCs w:val="24"/>
        </w:rPr>
        <w:fldChar w:fldCharType="separate"/>
      </w:r>
      <w:r>
        <w:rPr>
          <w:rFonts w:hint="eastAsia" w:hAnsi="宋体"/>
        </w:rPr>
        <w:t>4.技术要求响应表</w:t>
      </w:r>
      <w:r>
        <w:tab/>
      </w:r>
      <w:r>
        <w:fldChar w:fldCharType="begin"/>
      </w:r>
      <w:r>
        <w:instrText xml:space="preserve"> PAGEREF _Toc31387 </w:instrText>
      </w:r>
      <w:r>
        <w:fldChar w:fldCharType="separate"/>
      </w:r>
      <w:r>
        <w:t>26</w:t>
      </w:r>
      <w:r>
        <w:fldChar w:fldCharType="end"/>
      </w:r>
      <w:r>
        <w:rPr>
          <w:szCs w:val="24"/>
        </w:rPr>
        <w:fldChar w:fldCharType="end"/>
      </w:r>
    </w:p>
    <w:p>
      <w:pPr>
        <w:pStyle w:val="23"/>
        <w:tabs>
          <w:tab w:val="right" w:leader="dot" w:pos="8312"/>
          <w:tab w:val="clear" w:pos="8540"/>
        </w:tabs>
      </w:pPr>
      <w:r>
        <w:rPr>
          <w:szCs w:val="24"/>
        </w:rPr>
        <w:fldChar w:fldCharType="begin"/>
      </w:r>
      <w:r>
        <w:rPr>
          <w:szCs w:val="24"/>
        </w:rPr>
        <w:instrText xml:space="preserve"> HYPERLINK \l _Toc17966 </w:instrText>
      </w:r>
      <w:r>
        <w:rPr>
          <w:szCs w:val="24"/>
        </w:rPr>
        <w:fldChar w:fldCharType="separate"/>
      </w:r>
      <w:r>
        <w:rPr>
          <w:rFonts w:hint="eastAsia" w:hAnsi="宋体"/>
        </w:rPr>
        <w:t>5</w:t>
      </w:r>
      <w:r>
        <w:rPr>
          <w:rFonts w:hAnsi="宋体"/>
        </w:rPr>
        <w:t>.</w:t>
      </w:r>
      <w:r>
        <w:rPr>
          <w:rFonts w:hint="eastAsia" w:hAnsi="宋体"/>
        </w:rPr>
        <w:t>服务质量及服务承诺书</w:t>
      </w:r>
      <w:r>
        <w:tab/>
      </w:r>
      <w:r>
        <w:fldChar w:fldCharType="begin"/>
      </w:r>
      <w:r>
        <w:instrText xml:space="preserve"> PAGEREF _Toc17966 </w:instrText>
      </w:r>
      <w:r>
        <w:fldChar w:fldCharType="separate"/>
      </w:r>
      <w:r>
        <w:t>26</w:t>
      </w:r>
      <w:r>
        <w:fldChar w:fldCharType="end"/>
      </w:r>
      <w:r>
        <w:rPr>
          <w:szCs w:val="24"/>
        </w:rPr>
        <w:fldChar w:fldCharType="end"/>
      </w:r>
    </w:p>
    <w:p>
      <w:pPr>
        <w:pStyle w:val="36"/>
        <w:tabs>
          <w:tab w:val="right" w:leader="dot" w:pos="8312"/>
          <w:tab w:val="clear" w:pos="8540"/>
        </w:tabs>
      </w:pPr>
      <w:r>
        <w:rPr>
          <w:szCs w:val="24"/>
        </w:rPr>
        <w:fldChar w:fldCharType="begin"/>
      </w:r>
      <w:r>
        <w:rPr>
          <w:szCs w:val="24"/>
        </w:rPr>
        <w:instrText xml:space="preserve"> HYPERLINK \l _Toc708 </w:instrText>
      </w:r>
      <w:r>
        <w:rPr>
          <w:szCs w:val="24"/>
        </w:rPr>
        <w:fldChar w:fldCharType="separate"/>
      </w:r>
      <w:r>
        <w:rPr>
          <w:rFonts w:hint="eastAsia" w:ascii="宋体" w:hAnsi="宋体" w:eastAsia="宋体"/>
        </w:rPr>
        <w:t>二、资格证明文件</w:t>
      </w:r>
      <w:r>
        <w:tab/>
      </w:r>
      <w:r>
        <w:fldChar w:fldCharType="begin"/>
      </w:r>
      <w:r>
        <w:instrText xml:space="preserve"> PAGEREF _Toc708 </w:instrText>
      </w:r>
      <w:r>
        <w:fldChar w:fldCharType="separate"/>
      </w:r>
      <w:r>
        <w:t>26</w:t>
      </w:r>
      <w:r>
        <w:fldChar w:fldCharType="end"/>
      </w:r>
      <w:r>
        <w:rPr>
          <w:szCs w:val="24"/>
        </w:rPr>
        <w:fldChar w:fldCharType="end"/>
      </w:r>
    </w:p>
    <w:p>
      <w:pPr>
        <w:pStyle w:val="23"/>
        <w:tabs>
          <w:tab w:val="right" w:leader="dot" w:pos="8312"/>
          <w:tab w:val="clear" w:pos="8540"/>
        </w:tabs>
      </w:pPr>
      <w:r>
        <w:rPr>
          <w:szCs w:val="24"/>
        </w:rPr>
        <w:fldChar w:fldCharType="begin"/>
      </w:r>
      <w:r>
        <w:rPr>
          <w:szCs w:val="24"/>
        </w:rPr>
        <w:instrText xml:space="preserve"> HYPERLINK \l _Toc30785 </w:instrText>
      </w:r>
      <w:r>
        <w:rPr>
          <w:szCs w:val="24"/>
        </w:rPr>
        <w:fldChar w:fldCharType="separate"/>
      </w:r>
      <w:r>
        <w:rPr>
          <w:rFonts w:hint="eastAsia" w:hAnsi="宋体"/>
        </w:rPr>
        <w:t>1.资质证书</w:t>
      </w:r>
      <w:r>
        <w:tab/>
      </w:r>
      <w:r>
        <w:fldChar w:fldCharType="begin"/>
      </w:r>
      <w:r>
        <w:instrText xml:space="preserve"> PAGEREF _Toc30785 </w:instrText>
      </w:r>
      <w:r>
        <w:fldChar w:fldCharType="separate"/>
      </w:r>
      <w:r>
        <w:t>27</w:t>
      </w:r>
      <w:r>
        <w:fldChar w:fldCharType="end"/>
      </w:r>
      <w:r>
        <w:rPr>
          <w:szCs w:val="24"/>
        </w:rPr>
        <w:fldChar w:fldCharType="end"/>
      </w:r>
    </w:p>
    <w:p>
      <w:pPr>
        <w:pStyle w:val="23"/>
        <w:tabs>
          <w:tab w:val="right" w:leader="dot" w:pos="8312"/>
          <w:tab w:val="clear" w:pos="8540"/>
        </w:tabs>
      </w:pPr>
      <w:r>
        <w:rPr>
          <w:szCs w:val="24"/>
        </w:rPr>
        <w:fldChar w:fldCharType="begin"/>
      </w:r>
      <w:r>
        <w:rPr>
          <w:szCs w:val="24"/>
        </w:rPr>
        <w:instrText xml:space="preserve"> HYPERLINK \l _Toc14974 </w:instrText>
      </w:r>
      <w:r>
        <w:rPr>
          <w:szCs w:val="24"/>
        </w:rPr>
        <w:fldChar w:fldCharType="separate"/>
      </w:r>
      <w:r>
        <w:rPr>
          <w:rFonts w:hint="eastAsia" w:hAnsi="宋体"/>
        </w:rPr>
        <w:t>2.法人授权委托书</w:t>
      </w:r>
      <w:r>
        <w:tab/>
      </w:r>
      <w:r>
        <w:fldChar w:fldCharType="begin"/>
      </w:r>
      <w:r>
        <w:instrText xml:space="preserve"> PAGEREF _Toc14974 </w:instrText>
      </w:r>
      <w:r>
        <w:fldChar w:fldCharType="separate"/>
      </w:r>
      <w:r>
        <w:t>27</w:t>
      </w:r>
      <w:r>
        <w:fldChar w:fldCharType="end"/>
      </w:r>
      <w:r>
        <w:rPr>
          <w:szCs w:val="24"/>
        </w:rPr>
        <w:fldChar w:fldCharType="end"/>
      </w:r>
    </w:p>
    <w:p>
      <w:pPr>
        <w:pStyle w:val="23"/>
        <w:tabs>
          <w:tab w:val="right" w:leader="dot" w:pos="8312"/>
          <w:tab w:val="clear" w:pos="8540"/>
        </w:tabs>
      </w:pPr>
      <w:r>
        <w:rPr>
          <w:szCs w:val="24"/>
        </w:rPr>
        <w:fldChar w:fldCharType="begin"/>
      </w:r>
      <w:r>
        <w:rPr>
          <w:szCs w:val="24"/>
        </w:rPr>
        <w:instrText xml:space="preserve"> HYPERLINK \l _Toc24153 </w:instrText>
      </w:r>
      <w:r>
        <w:rPr>
          <w:szCs w:val="24"/>
        </w:rPr>
        <w:fldChar w:fldCharType="separate"/>
      </w:r>
      <w:r>
        <w:rPr>
          <w:rFonts w:hint="eastAsia" w:hAnsi="宋体"/>
        </w:rPr>
        <w:t>3.其他</w:t>
      </w:r>
      <w:r>
        <w:tab/>
      </w:r>
      <w:r>
        <w:fldChar w:fldCharType="begin"/>
      </w:r>
      <w:r>
        <w:instrText xml:space="preserve"> PAGEREF _Toc24153 </w:instrText>
      </w:r>
      <w:r>
        <w:fldChar w:fldCharType="separate"/>
      </w:r>
      <w:r>
        <w:t>28</w:t>
      </w:r>
      <w:r>
        <w:fldChar w:fldCharType="end"/>
      </w:r>
      <w:r>
        <w:rPr>
          <w:szCs w:val="24"/>
        </w:rPr>
        <w:fldChar w:fldCharType="end"/>
      </w:r>
    </w:p>
    <w:p>
      <w:pPr>
        <w:pStyle w:val="2"/>
        <w:jc w:val="center"/>
      </w:pPr>
      <w:r>
        <w:rPr>
          <w:szCs w:val="24"/>
        </w:rPr>
        <w:fldChar w:fldCharType="end"/>
      </w:r>
      <w:bookmarkStart w:id="0" w:name="_Toc279409995"/>
      <w:bookmarkStart w:id="1" w:name="_Toc27461"/>
      <w:r>
        <w:rPr>
          <w:rFonts w:hint="eastAsia"/>
        </w:rPr>
        <w:t>第一章  谈判供应商须知</w:t>
      </w:r>
      <w:bookmarkEnd w:id="0"/>
      <w:bookmarkEnd w:id="1"/>
    </w:p>
    <w:p>
      <w:pPr>
        <w:spacing w:line="360" w:lineRule="auto"/>
        <w:ind w:firstLine="490"/>
        <w:rPr>
          <w:rFonts w:hAnsi="宋体"/>
          <w:sz w:val="24"/>
          <w:szCs w:val="28"/>
        </w:rPr>
      </w:pPr>
      <w:r>
        <w:rPr>
          <w:rFonts w:hint="eastAsia" w:hAnsi="宋体"/>
          <w:sz w:val="24"/>
          <w:szCs w:val="28"/>
        </w:rPr>
        <w:t>我校拟对</w:t>
      </w:r>
      <w:r>
        <w:rPr>
          <w:rFonts w:hint="eastAsia" w:hAnsi="宋体"/>
          <w:sz w:val="24"/>
          <w:szCs w:val="28"/>
          <w:u w:val="single"/>
        </w:rPr>
        <w:t>公共经济学院软件采购</w:t>
      </w:r>
      <w:r>
        <w:rPr>
          <w:rFonts w:hint="eastAsia" w:hAnsi="宋体"/>
          <w:sz w:val="24"/>
          <w:szCs w:val="28"/>
        </w:rPr>
        <w:t>项目采购，欢迎贵单位参加，并提请注意以下事项：</w:t>
      </w:r>
    </w:p>
    <w:p>
      <w:pPr>
        <w:pStyle w:val="3"/>
        <w:spacing w:line="360" w:lineRule="auto"/>
        <w:rPr>
          <w:rFonts w:ascii="宋体" w:hAnsi="宋体" w:eastAsia="宋体"/>
        </w:rPr>
      </w:pPr>
      <w:bookmarkStart w:id="2" w:name="_Toc25047"/>
      <w:r>
        <w:rPr>
          <w:rFonts w:hint="eastAsia" w:ascii="宋体" w:hAnsi="宋体" w:eastAsia="宋体"/>
        </w:rPr>
        <w:t>前附表</w:t>
      </w:r>
      <w:bookmarkEnd w:id="2"/>
    </w:p>
    <w:tbl>
      <w:tblPr>
        <w:tblStyle w:val="45"/>
        <w:tblW w:w="8847"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562"/>
        <w:gridCol w:w="6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661" w:type="dxa"/>
            <w:vAlign w:val="center"/>
          </w:tcPr>
          <w:p>
            <w:pPr>
              <w:spacing w:line="400" w:lineRule="exact"/>
              <w:jc w:val="both"/>
              <w:rPr>
                <w:rFonts w:hAnsi="宋体"/>
                <w:sz w:val="21"/>
                <w:szCs w:val="21"/>
              </w:rPr>
            </w:pPr>
            <w:r>
              <w:rPr>
                <w:rFonts w:hint="eastAsia" w:hAnsi="宋体"/>
                <w:sz w:val="21"/>
                <w:szCs w:val="21"/>
              </w:rPr>
              <w:t>序号</w:t>
            </w:r>
          </w:p>
        </w:tc>
        <w:tc>
          <w:tcPr>
            <w:tcW w:w="1562" w:type="dxa"/>
            <w:vAlign w:val="center"/>
          </w:tcPr>
          <w:p>
            <w:pPr>
              <w:spacing w:line="400" w:lineRule="exact"/>
              <w:jc w:val="both"/>
              <w:rPr>
                <w:rFonts w:hAnsi="宋体"/>
                <w:sz w:val="21"/>
                <w:szCs w:val="21"/>
              </w:rPr>
            </w:pPr>
            <w:r>
              <w:rPr>
                <w:rFonts w:hint="eastAsia" w:hAnsi="宋体"/>
                <w:sz w:val="21"/>
                <w:szCs w:val="21"/>
              </w:rPr>
              <w:t>项目</w:t>
            </w:r>
          </w:p>
        </w:tc>
        <w:tc>
          <w:tcPr>
            <w:tcW w:w="6624" w:type="dxa"/>
            <w:vAlign w:val="center"/>
          </w:tcPr>
          <w:p>
            <w:pPr>
              <w:spacing w:line="400" w:lineRule="exact"/>
              <w:jc w:val="both"/>
              <w:rPr>
                <w:rFonts w:hAnsi="宋体"/>
                <w:sz w:val="21"/>
                <w:szCs w:val="21"/>
              </w:rPr>
            </w:pPr>
            <w:r>
              <w:rPr>
                <w:rFonts w:hint="eastAsia" w:hAnsi="宋体"/>
                <w:sz w:val="21"/>
                <w:szCs w:val="21"/>
              </w:rPr>
              <w:t>具 体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661" w:type="dxa"/>
            <w:vAlign w:val="center"/>
          </w:tcPr>
          <w:p>
            <w:pPr>
              <w:spacing w:line="400" w:lineRule="exact"/>
              <w:jc w:val="center"/>
              <w:rPr>
                <w:rFonts w:hAnsi="宋体"/>
                <w:sz w:val="21"/>
                <w:szCs w:val="21"/>
              </w:rPr>
            </w:pPr>
            <w:r>
              <w:rPr>
                <w:rFonts w:hint="eastAsia" w:hAnsi="宋体"/>
                <w:sz w:val="21"/>
                <w:szCs w:val="21"/>
              </w:rPr>
              <w:t>1</w:t>
            </w:r>
          </w:p>
        </w:tc>
        <w:tc>
          <w:tcPr>
            <w:tcW w:w="1562" w:type="dxa"/>
            <w:vAlign w:val="center"/>
          </w:tcPr>
          <w:p>
            <w:pPr>
              <w:spacing w:line="400" w:lineRule="exact"/>
              <w:jc w:val="both"/>
              <w:rPr>
                <w:rFonts w:hAnsi="宋体"/>
                <w:sz w:val="21"/>
                <w:szCs w:val="21"/>
              </w:rPr>
            </w:pPr>
            <w:r>
              <w:rPr>
                <w:rFonts w:hint="eastAsia" w:hAnsi="宋体"/>
                <w:sz w:val="21"/>
                <w:szCs w:val="21"/>
              </w:rPr>
              <w:t>项目名称</w:t>
            </w:r>
          </w:p>
        </w:tc>
        <w:tc>
          <w:tcPr>
            <w:tcW w:w="6624" w:type="dxa"/>
            <w:vAlign w:val="center"/>
          </w:tcPr>
          <w:p>
            <w:pPr>
              <w:spacing w:line="400" w:lineRule="exact"/>
              <w:jc w:val="both"/>
              <w:rPr>
                <w:rFonts w:hAnsi="宋体"/>
                <w:sz w:val="21"/>
                <w:szCs w:val="21"/>
              </w:rPr>
            </w:pPr>
            <w:r>
              <w:rPr>
                <w:rFonts w:hint="eastAsia" w:hAnsi="宋体"/>
                <w:sz w:val="21"/>
                <w:szCs w:val="21"/>
              </w:rPr>
              <w:t>公共经济学院软件采购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661" w:type="dxa"/>
            <w:vAlign w:val="center"/>
          </w:tcPr>
          <w:p>
            <w:pPr>
              <w:spacing w:line="400" w:lineRule="exact"/>
              <w:jc w:val="center"/>
              <w:rPr>
                <w:rFonts w:hAnsi="宋体"/>
                <w:sz w:val="21"/>
                <w:szCs w:val="21"/>
              </w:rPr>
            </w:pPr>
            <w:r>
              <w:rPr>
                <w:rFonts w:hint="eastAsia" w:hAnsi="宋体"/>
                <w:sz w:val="21"/>
                <w:szCs w:val="21"/>
              </w:rPr>
              <w:t>2</w:t>
            </w:r>
          </w:p>
        </w:tc>
        <w:tc>
          <w:tcPr>
            <w:tcW w:w="1562" w:type="dxa"/>
            <w:vAlign w:val="center"/>
          </w:tcPr>
          <w:p>
            <w:pPr>
              <w:spacing w:line="400" w:lineRule="exact"/>
              <w:jc w:val="both"/>
              <w:rPr>
                <w:rFonts w:hAnsi="宋体"/>
                <w:sz w:val="21"/>
                <w:szCs w:val="21"/>
              </w:rPr>
            </w:pPr>
            <w:r>
              <w:rPr>
                <w:rFonts w:hint="eastAsia" w:hAnsi="宋体"/>
                <w:sz w:val="21"/>
                <w:szCs w:val="21"/>
              </w:rPr>
              <w:t>分包</w:t>
            </w:r>
          </w:p>
        </w:tc>
        <w:tc>
          <w:tcPr>
            <w:tcW w:w="6624" w:type="dxa"/>
            <w:vAlign w:val="center"/>
          </w:tcPr>
          <w:p>
            <w:pPr>
              <w:spacing w:line="400" w:lineRule="exact"/>
              <w:jc w:val="both"/>
              <w:rPr>
                <w:rFonts w:hAnsi="宋体"/>
                <w:sz w:val="21"/>
                <w:szCs w:val="21"/>
              </w:rPr>
            </w:pPr>
            <w:r>
              <w:rPr>
                <w:rFonts w:hint="eastAsia" w:hAnsi="宋体"/>
                <w:sz w:val="21"/>
                <w:szCs w:val="21"/>
              </w:rPr>
              <w:t>分包2：公共预算编制-审议-执行-决算模拟软件；</w:t>
            </w:r>
          </w:p>
          <w:p>
            <w:pPr>
              <w:spacing w:line="400" w:lineRule="exact"/>
              <w:jc w:val="both"/>
              <w:rPr>
                <w:rFonts w:hAnsi="宋体"/>
                <w:sz w:val="21"/>
                <w:szCs w:val="21"/>
              </w:rPr>
            </w:pPr>
            <w:r>
              <w:rPr>
                <w:rFonts w:hint="eastAsia" w:hAnsi="宋体"/>
                <w:sz w:val="21"/>
                <w:szCs w:val="21"/>
              </w:rPr>
              <w:t>分包4：计算机辅助调查系统；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661" w:type="dxa"/>
            <w:vAlign w:val="center"/>
          </w:tcPr>
          <w:p>
            <w:pPr>
              <w:spacing w:line="400" w:lineRule="exact"/>
              <w:jc w:val="center"/>
              <w:rPr>
                <w:rFonts w:hAnsi="宋体"/>
                <w:sz w:val="21"/>
                <w:szCs w:val="21"/>
              </w:rPr>
            </w:pPr>
            <w:r>
              <w:rPr>
                <w:rFonts w:hint="eastAsia" w:hAnsi="宋体"/>
                <w:sz w:val="21"/>
                <w:szCs w:val="21"/>
              </w:rPr>
              <w:t>3</w:t>
            </w:r>
          </w:p>
        </w:tc>
        <w:tc>
          <w:tcPr>
            <w:tcW w:w="1562" w:type="dxa"/>
            <w:vAlign w:val="center"/>
          </w:tcPr>
          <w:p>
            <w:pPr>
              <w:spacing w:line="400" w:lineRule="exact"/>
              <w:jc w:val="both"/>
              <w:rPr>
                <w:rFonts w:hAnsi="宋体"/>
                <w:sz w:val="21"/>
                <w:szCs w:val="21"/>
              </w:rPr>
            </w:pPr>
            <w:r>
              <w:rPr>
                <w:rFonts w:hint="eastAsia" w:hAnsi="宋体"/>
                <w:sz w:val="21"/>
                <w:szCs w:val="21"/>
              </w:rPr>
              <w:t>采购人式</w:t>
            </w:r>
          </w:p>
        </w:tc>
        <w:tc>
          <w:tcPr>
            <w:tcW w:w="6624" w:type="dxa"/>
            <w:vAlign w:val="center"/>
          </w:tcPr>
          <w:p>
            <w:pPr>
              <w:spacing w:line="400" w:lineRule="exact"/>
              <w:jc w:val="both"/>
              <w:rPr>
                <w:rFonts w:hAnsi="宋体"/>
                <w:sz w:val="21"/>
                <w:szCs w:val="21"/>
              </w:rPr>
            </w:pPr>
            <w:r>
              <w:rPr>
                <w:rFonts w:hint="eastAsia" w:hAnsi="宋体"/>
                <w:sz w:val="21"/>
                <w:szCs w:val="21"/>
              </w:rPr>
              <w:t>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661" w:type="dxa"/>
            <w:vAlign w:val="center"/>
          </w:tcPr>
          <w:p>
            <w:pPr>
              <w:spacing w:line="400" w:lineRule="exact"/>
              <w:jc w:val="center"/>
              <w:rPr>
                <w:rFonts w:hAnsi="宋体"/>
                <w:sz w:val="21"/>
                <w:szCs w:val="21"/>
              </w:rPr>
            </w:pPr>
            <w:r>
              <w:rPr>
                <w:rFonts w:hint="eastAsia" w:hAnsi="宋体"/>
                <w:sz w:val="21"/>
                <w:szCs w:val="21"/>
              </w:rPr>
              <w:t>4</w:t>
            </w:r>
          </w:p>
        </w:tc>
        <w:tc>
          <w:tcPr>
            <w:tcW w:w="1562" w:type="dxa"/>
            <w:vAlign w:val="center"/>
          </w:tcPr>
          <w:p>
            <w:pPr>
              <w:spacing w:line="400" w:lineRule="exact"/>
              <w:jc w:val="both"/>
              <w:rPr>
                <w:rFonts w:hAnsi="宋体"/>
                <w:sz w:val="21"/>
                <w:szCs w:val="21"/>
              </w:rPr>
            </w:pPr>
            <w:r>
              <w:rPr>
                <w:rFonts w:hint="eastAsia" w:hAnsi="宋体"/>
                <w:sz w:val="21"/>
                <w:szCs w:val="21"/>
              </w:rPr>
              <w:t>采购编号</w:t>
            </w:r>
          </w:p>
        </w:tc>
        <w:tc>
          <w:tcPr>
            <w:tcW w:w="6624" w:type="dxa"/>
            <w:vAlign w:val="center"/>
          </w:tcPr>
          <w:p>
            <w:pPr>
              <w:spacing w:line="400" w:lineRule="exact"/>
              <w:jc w:val="both"/>
              <w:rPr>
                <w:rFonts w:hAnsi="宋体"/>
                <w:sz w:val="21"/>
                <w:szCs w:val="21"/>
              </w:rPr>
            </w:pPr>
            <w:r>
              <w:rPr>
                <w:rFonts w:hAnsi="宋体"/>
                <w:sz w:val="21"/>
                <w:szCs w:val="21"/>
              </w:rPr>
              <w:t>NSC2016-03</w:t>
            </w:r>
            <w:r>
              <w:rPr>
                <w:rFonts w:hint="eastAsia" w:hAnsi="宋体"/>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0" w:hRule="atLeast"/>
        </w:trPr>
        <w:tc>
          <w:tcPr>
            <w:tcW w:w="661" w:type="dxa"/>
            <w:vAlign w:val="center"/>
          </w:tcPr>
          <w:p>
            <w:pPr>
              <w:spacing w:line="400" w:lineRule="exact"/>
              <w:ind w:right="102"/>
              <w:jc w:val="center"/>
              <w:rPr>
                <w:rFonts w:hAnsi="宋体"/>
                <w:sz w:val="21"/>
                <w:szCs w:val="21"/>
              </w:rPr>
            </w:pPr>
            <w:r>
              <w:rPr>
                <w:rFonts w:hint="eastAsia" w:hAnsi="宋体"/>
                <w:sz w:val="21"/>
                <w:szCs w:val="21"/>
              </w:rPr>
              <w:t>5</w:t>
            </w:r>
          </w:p>
        </w:tc>
        <w:tc>
          <w:tcPr>
            <w:tcW w:w="1562" w:type="dxa"/>
            <w:vAlign w:val="center"/>
          </w:tcPr>
          <w:p>
            <w:pPr>
              <w:spacing w:line="400" w:lineRule="exact"/>
              <w:ind w:right="102"/>
              <w:jc w:val="both"/>
              <w:rPr>
                <w:rFonts w:hAnsi="宋体"/>
                <w:sz w:val="21"/>
                <w:szCs w:val="21"/>
              </w:rPr>
            </w:pPr>
            <w:r>
              <w:rPr>
                <w:rFonts w:hint="eastAsia" w:hAnsi="宋体"/>
                <w:sz w:val="21"/>
                <w:szCs w:val="21"/>
              </w:rPr>
              <w:t>采购人</w:t>
            </w:r>
          </w:p>
        </w:tc>
        <w:tc>
          <w:tcPr>
            <w:tcW w:w="6624" w:type="dxa"/>
            <w:vAlign w:val="center"/>
          </w:tcPr>
          <w:p>
            <w:pPr>
              <w:spacing w:line="400" w:lineRule="exact"/>
              <w:jc w:val="both"/>
              <w:rPr>
                <w:rFonts w:hAnsi="宋体"/>
                <w:sz w:val="21"/>
                <w:szCs w:val="21"/>
              </w:rPr>
            </w:pPr>
            <w:r>
              <w:rPr>
                <w:rFonts w:hint="eastAsia" w:hAnsi="宋体"/>
                <w:sz w:val="21"/>
                <w:szCs w:val="21"/>
              </w:rPr>
              <w:t>南京审计大学</w:t>
            </w:r>
          </w:p>
          <w:p>
            <w:pPr>
              <w:spacing w:line="400" w:lineRule="exact"/>
              <w:jc w:val="both"/>
              <w:rPr>
                <w:rFonts w:hAnsi="宋体"/>
                <w:sz w:val="21"/>
                <w:szCs w:val="21"/>
              </w:rPr>
            </w:pPr>
            <w:r>
              <w:rPr>
                <w:rFonts w:hint="eastAsia" w:hAnsi="宋体"/>
                <w:sz w:val="21"/>
                <w:szCs w:val="21"/>
              </w:rPr>
              <w:t>项目负责人：赵老师  高老师</w:t>
            </w:r>
          </w:p>
          <w:p>
            <w:pPr>
              <w:spacing w:line="400" w:lineRule="exact"/>
              <w:jc w:val="both"/>
              <w:rPr>
                <w:rFonts w:hAnsi="宋体"/>
                <w:sz w:val="21"/>
                <w:szCs w:val="21"/>
              </w:rPr>
            </w:pPr>
            <w:r>
              <w:rPr>
                <w:rFonts w:hint="eastAsia" w:hAnsi="宋体"/>
                <w:sz w:val="21"/>
                <w:szCs w:val="21"/>
              </w:rPr>
              <w:t>电话：025-58318709</w:t>
            </w:r>
            <w:r>
              <w:rPr>
                <w:rFonts w:hAnsi="宋体"/>
                <w:sz w:val="21"/>
                <w:szCs w:val="21"/>
              </w:rPr>
              <w:t xml:space="preserve">  58318724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661" w:type="dxa"/>
            <w:vAlign w:val="center"/>
          </w:tcPr>
          <w:p>
            <w:pPr>
              <w:spacing w:line="400" w:lineRule="exact"/>
              <w:jc w:val="center"/>
              <w:rPr>
                <w:rFonts w:hAnsi="宋体"/>
                <w:sz w:val="21"/>
                <w:szCs w:val="21"/>
              </w:rPr>
            </w:pPr>
            <w:r>
              <w:rPr>
                <w:rFonts w:hint="eastAsia" w:hAnsi="宋体"/>
                <w:sz w:val="21"/>
                <w:szCs w:val="21"/>
              </w:rPr>
              <w:t>6</w:t>
            </w:r>
          </w:p>
        </w:tc>
        <w:tc>
          <w:tcPr>
            <w:tcW w:w="1562" w:type="dxa"/>
            <w:vAlign w:val="center"/>
          </w:tcPr>
          <w:p>
            <w:pPr>
              <w:spacing w:line="400" w:lineRule="exact"/>
              <w:jc w:val="both"/>
              <w:rPr>
                <w:rFonts w:hAnsi="宋体"/>
                <w:sz w:val="21"/>
                <w:szCs w:val="21"/>
              </w:rPr>
            </w:pPr>
            <w:r>
              <w:rPr>
                <w:rFonts w:hint="eastAsia" w:hAnsi="宋体"/>
                <w:sz w:val="21"/>
                <w:szCs w:val="21"/>
              </w:rPr>
              <w:t>谈判供应商</w:t>
            </w:r>
          </w:p>
        </w:tc>
        <w:tc>
          <w:tcPr>
            <w:tcW w:w="6624" w:type="dxa"/>
            <w:vAlign w:val="center"/>
          </w:tcPr>
          <w:p>
            <w:pPr>
              <w:spacing w:line="400" w:lineRule="exact"/>
              <w:jc w:val="both"/>
              <w:rPr>
                <w:rFonts w:hAnsi="宋体"/>
                <w:sz w:val="21"/>
                <w:szCs w:val="21"/>
              </w:rPr>
            </w:pPr>
            <w:r>
              <w:rPr>
                <w:rFonts w:hint="eastAsia" w:hAnsi="宋体"/>
                <w:sz w:val="21"/>
                <w:szCs w:val="21"/>
              </w:rPr>
              <w:t>向采购人提供货物、工程或者服务的法人、其他组织或者自然人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661" w:type="dxa"/>
            <w:vAlign w:val="center"/>
          </w:tcPr>
          <w:p>
            <w:pPr>
              <w:spacing w:line="400" w:lineRule="exact"/>
              <w:jc w:val="center"/>
              <w:rPr>
                <w:rFonts w:hAnsi="宋体"/>
                <w:sz w:val="21"/>
                <w:szCs w:val="21"/>
              </w:rPr>
            </w:pPr>
            <w:r>
              <w:rPr>
                <w:rFonts w:hint="eastAsia" w:hAnsi="宋体"/>
                <w:sz w:val="21"/>
                <w:szCs w:val="21"/>
              </w:rPr>
              <w:t>7</w:t>
            </w:r>
          </w:p>
        </w:tc>
        <w:tc>
          <w:tcPr>
            <w:tcW w:w="1562" w:type="dxa"/>
            <w:vAlign w:val="center"/>
          </w:tcPr>
          <w:p>
            <w:pPr>
              <w:spacing w:line="400" w:lineRule="exact"/>
              <w:jc w:val="both"/>
              <w:rPr>
                <w:rFonts w:hAnsi="宋体"/>
                <w:sz w:val="21"/>
                <w:szCs w:val="21"/>
              </w:rPr>
            </w:pPr>
            <w:r>
              <w:rPr>
                <w:rFonts w:hint="eastAsia" w:hAnsi="宋体"/>
                <w:sz w:val="21"/>
                <w:szCs w:val="21"/>
              </w:rPr>
              <w:t>采购预算</w:t>
            </w:r>
          </w:p>
        </w:tc>
        <w:tc>
          <w:tcPr>
            <w:tcW w:w="6624" w:type="dxa"/>
            <w:vAlign w:val="center"/>
          </w:tcPr>
          <w:p>
            <w:pPr>
              <w:spacing w:line="400" w:lineRule="exact"/>
              <w:jc w:val="both"/>
              <w:rPr>
                <w:rFonts w:hAnsi="宋体"/>
                <w:sz w:val="21"/>
                <w:szCs w:val="21"/>
              </w:rPr>
            </w:pPr>
            <w:r>
              <w:rPr>
                <w:rFonts w:hint="eastAsia" w:hAnsi="宋体"/>
                <w:sz w:val="21"/>
                <w:szCs w:val="21"/>
              </w:rPr>
              <w:t>项目总预算价为</w:t>
            </w:r>
            <w:r>
              <w:rPr>
                <w:rFonts w:hint="eastAsia" w:hAnsi="宋体"/>
                <w:sz w:val="21"/>
                <w:szCs w:val="21"/>
                <w:lang w:val="en-US" w:eastAsia="zh-CN"/>
              </w:rPr>
              <w:t>2</w:t>
            </w:r>
            <w:r>
              <w:rPr>
                <w:rFonts w:hint="eastAsia" w:hAnsi="宋体"/>
                <w:sz w:val="21"/>
                <w:szCs w:val="21"/>
              </w:rPr>
              <w:t>0万元，其中：</w:t>
            </w:r>
          </w:p>
          <w:p>
            <w:pPr>
              <w:spacing w:line="400" w:lineRule="exact"/>
              <w:jc w:val="both"/>
              <w:rPr>
                <w:rFonts w:hAnsi="宋体"/>
                <w:sz w:val="21"/>
                <w:szCs w:val="21"/>
              </w:rPr>
            </w:pPr>
            <w:r>
              <w:rPr>
                <w:rFonts w:hint="eastAsia" w:hAnsi="宋体"/>
                <w:sz w:val="21"/>
                <w:szCs w:val="21"/>
              </w:rPr>
              <w:t>分包2：10万；分包4：10万。</w:t>
            </w:r>
          </w:p>
          <w:p>
            <w:pPr>
              <w:spacing w:line="400" w:lineRule="exact"/>
              <w:jc w:val="both"/>
              <w:rPr>
                <w:rFonts w:hAnsi="宋体"/>
                <w:sz w:val="21"/>
                <w:szCs w:val="21"/>
              </w:rPr>
            </w:pPr>
            <w:r>
              <w:rPr>
                <w:rFonts w:hint="eastAsia" w:hAnsi="宋体"/>
                <w:sz w:val="21"/>
                <w:szCs w:val="21"/>
              </w:rPr>
              <w:t>超过预算价的，响应文件视为无效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661" w:type="dxa"/>
            <w:vAlign w:val="center"/>
          </w:tcPr>
          <w:p>
            <w:pPr>
              <w:spacing w:line="400" w:lineRule="exact"/>
              <w:jc w:val="center"/>
              <w:rPr>
                <w:rFonts w:hAnsi="宋体"/>
                <w:sz w:val="21"/>
                <w:szCs w:val="21"/>
              </w:rPr>
            </w:pPr>
            <w:r>
              <w:rPr>
                <w:rFonts w:hAnsi="宋体"/>
                <w:sz w:val="21"/>
                <w:szCs w:val="21"/>
              </w:rPr>
              <w:t>8</w:t>
            </w:r>
          </w:p>
        </w:tc>
        <w:tc>
          <w:tcPr>
            <w:tcW w:w="1562" w:type="dxa"/>
            <w:vAlign w:val="center"/>
          </w:tcPr>
          <w:p>
            <w:pPr>
              <w:spacing w:line="400" w:lineRule="exact"/>
              <w:jc w:val="both"/>
              <w:rPr>
                <w:rFonts w:hAnsi="宋体"/>
                <w:sz w:val="21"/>
                <w:szCs w:val="21"/>
              </w:rPr>
            </w:pPr>
            <w:r>
              <w:rPr>
                <w:rFonts w:hint="eastAsia" w:hAnsi="宋体"/>
                <w:sz w:val="21"/>
                <w:szCs w:val="21"/>
              </w:rPr>
              <w:t>现场勘察</w:t>
            </w:r>
          </w:p>
        </w:tc>
        <w:tc>
          <w:tcPr>
            <w:tcW w:w="6624" w:type="dxa"/>
            <w:vAlign w:val="center"/>
          </w:tcPr>
          <w:p>
            <w:pPr>
              <w:spacing w:line="400" w:lineRule="exact"/>
              <w:jc w:val="both"/>
              <w:rPr>
                <w:rFonts w:hAnsi="宋体"/>
                <w:sz w:val="21"/>
                <w:szCs w:val="21"/>
              </w:rPr>
            </w:pPr>
            <w:r>
              <w:rPr>
                <w:rFonts w:hint="eastAsia" w:hAnsi="宋体"/>
                <w:sz w:val="21"/>
                <w:szCs w:val="21"/>
              </w:rPr>
              <w:t>采购人不组织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661" w:type="dxa"/>
            <w:vAlign w:val="center"/>
          </w:tcPr>
          <w:p>
            <w:pPr>
              <w:spacing w:line="400" w:lineRule="exact"/>
              <w:jc w:val="center"/>
              <w:rPr>
                <w:rFonts w:hAnsi="宋体"/>
                <w:sz w:val="21"/>
                <w:szCs w:val="21"/>
              </w:rPr>
            </w:pPr>
            <w:r>
              <w:rPr>
                <w:rFonts w:hAnsi="宋体"/>
                <w:sz w:val="21"/>
                <w:szCs w:val="21"/>
              </w:rPr>
              <w:t>9</w:t>
            </w:r>
          </w:p>
        </w:tc>
        <w:tc>
          <w:tcPr>
            <w:tcW w:w="1562" w:type="dxa"/>
            <w:vAlign w:val="center"/>
          </w:tcPr>
          <w:p>
            <w:pPr>
              <w:spacing w:line="400" w:lineRule="exact"/>
              <w:jc w:val="both"/>
              <w:rPr>
                <w:rFonts w:hAnsi="宋体"/>
                <w:sz w:val="21"/>
                <w:szCs w:val="21"/>
              </w:rPr>
            </w:pPr>
            <w:r>
              <w:rPr>
                <w:rFonts w:hint="eastAsia" w:hAnsi="宋体"/>
                <w:sz w:val="21"/>
                <w:szCs w:val="21"/>
              </w:rPr>
              <w:t>竞争性谈判</w:t>
            </w:r>
          </w:p>
          <w:p>
            <w:pPr>
              <w:spacing w:line="400" w:lineRule="exact"/>
              <w:jc w:val="both"/>
              <w:rPr>
                <w:rFonts w:hAnsi="宋体"/>
                <w:sz w:val="21"/>
                <w:szCs w:val="21"/>
              </w:rPr>
            </w:pPr>
            <w:r>
              <w:rPr>
                <w:rFonts w:hint="eastAsia" w:hAnsi="宋体"/>
                <w:sz w:val="21"/>
                <w:szCs w:val="21"/>
              </w:rPr>
              <w:t>保证金</w:t>
            </w:r>
          </w:p>
        </w:tc>
        <w:tc>
          <w:tcPr>
            <w:tcW w:w="6624" w:type="dxa"/>
            <w:vAlign w:val="center"/>
          </w:tcPr>
          <w:p>
            <w:pPr>
              <w:spacing w:line="400" w:lineRule="exact"/>
              <w:jc w:val="both"/>
              <w:rPr>
                <w:rFonts w:hAnsi="宋体"/>
                <w:sz w:val="21"/>
                <w:szCs w:val="21"/>
              </w:rPr>
            </w:pPr>
            <w:r>
              <w:rPr>
                <w:rFonts w:hint="eastAsia" w:hAnsi="宋体"/>
                <w:sz w:val="21"/>
                <w:szCs w:val="21"/>
              </w:rPr>
              <w:t>分包2：人民币贰仟元整</w:t>
            </w:r>
            <w:r>
              <w:rPr>
                <w:rFonts w:hAnsi="宋体"/>
                <w:sz w:val="21"/>
                <w:szCs w:val="21"/>
              </w:rPr>
              <w:t xml:space="preserve"> </w:t>
            </w:r>
            <w:r>
              <w:rPr>
                <w:rFonts w:hint="eastAsia" w:hAnsi="宋体"/>
                <w:sz w:val="21"/>
                <w:szCs w:val="21"/>
              </w:rPr>
              <w:t>（￥</w:t>
            </w:r>
            <w:r>
              <w:rPr>
                <w:rFonts w:hAnsi="宋体"/>
                <w:sz w:val="21"/>
                <w:szCs w:val="21"/>
              </w:rPr>
              <w:t>2</w:t>
            </w:r>
            <w:r>
              <w:rPr>
                <w:rFonts w:hint="eastAsia" w:hAnsi="宋体"/>
                <w:sz w:val="21"/>
                <w:szCs w:val="21"/>
              </w:rPr>
              <w:t>000.00元</w:t>
            </w:r>
            <w:r>
              <w:rPr>
                <w:rFonts w:hAnsi="宋体"/>
                <w:sz w:val="21"/>
                <w:szCs w:val="21"/>
              </w:rPr>
              <w:t>）</w:t>
            </w:r>
            <w:r>
              <w:rPr>
                <w:rFonts w:hint="eastAsia" w:hAnsi="宋体"/>
                <w:sz w:val="21"/>
                <w:szCs w:val="21"/>
              </w:rPr>
              <w:t>；</w:t>
            </w:r>
          </w:p>
          <w:p>
            <w:pPr>
              <w:spacing w:line="400" w:lineRule="exact"/>
              <w:jc w:val="both"/>
              <w:rPr>
                <w:rFonts w:hAnsi="宋体"/>
                <w:sz w:val="21"/>
                <w:szCs w:val="21"/>
              </w:rPr>
            </w:pPr>
            <w:r>
              <w:rPr>
                <w:rFonts w:hint="eastAsia" w:hAnsi="宋体"/>
                <w:sz w:val="21"/>
                <w:szCs w:val="21"/>
              </w:rPr>
              <w:t>分包4：人民币贰仟元整</w:t>
            </w:r>
            <w:r>
              <w:rPr>
                <w:rFonts w:hAnsi="宋体"/>
                <w:sz w:val="21"/>
                <w:szCs w:val="21"/>
              </w:rPr>
              <w:t xml:space="preserve"> </w:t>
            </w:r>
            <w:r>
              <w:rPr>
                <w:rFonts w:hint="eastAsia" w:hAnsi="宋体"/>
                <w:sz w:val="21"/>
                <w:szCs w:val="21"/>
              </w:rPr>
              <w:t>（￥</w:t>
            </w:r>
            <w:r>
              <w:rPr>
                <w:rFonts w:hAnsi="宋体"/>
                <w:sz w:val="21"/>
                <w:szCs w:val="21"/>
              </w:rPr>
              <w:t>2</w:t>
            </w:r>
            <w:r>
              <w:rPr>
                <w:rFonts w:hint="eastAsia" w:hAnsi="宋体"/>
                <w:sz w:val="21"/>
                <w:szCs w:val="21"/>
              </w:rPr>
              <w:t>000.00元</w:t>
            </w:r>
            <w:r>
              <w:rPr>
                <w:rFonts w:hAnsi="宋体"/>
                <w:sz w:val="21"/>
                <w:szCs w:val="21"/>
              </w:rPr>
              <w:t>）</w:t>
            </w:r>
            <w:r>
              <w:rPr>
                <w:rFonts w:hint="eastAsia"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661" w:type="dxa"/>
            <w:vAlign w:val="center"/>
          </w:tcPr>
          <w:p>
            <w:pPr>
              <w:spacing w:line="400" w:lineRule="exact"/>
              <w:jc w:val="center"/>
              <w:rPr>
                <w:rFonts w:hAnsi="宋体"/>
                <w:sz w:val="21"/>
                <w:szCs w:val="21"/>
              </w:rPr>
            </w:pPr>
            <w:r>
              <w:rPr>
                <w:rFonts w:hAnsi="宋体"/>
                <w:sz w:val="21"/>
                <w:szCs w:val="21"/>
              </w:rPr>
              <w:t>10</w:t>
            </w:r>
          </w:p>
        </w:tc>
        <w:tc>
          <w:tcPr>
            <w:tcW w:w="1562" w:type="dxa"/>
            <w:vAlign w:val="center"/>
          </w:tcPr>
          <w:p>
            <w:pPr>
              <w:spacing w:line="400" w:lineRule="exact"/>
              <w:jc w:val="both"/>
              <w:rPr>
                <w:rFonts w:hAnsi="宋体"/>
                <w:sz w:val="21"/>
                <w:szCs w:val="21"/>
              </w:rPr>
            </w:pPr>
            <w:r>
              <w:rPr>
                <w:rFonts w:hint="eastAsia" w:hAnsi="宋体"/>
                <w:sz w:val="21"/>
                <w:szCs w:val="21"/>
              </w:rPr>
              <w:t>递交方式</w:t>
            </w:r>
          </w:p>
        </w:tc>
        <w:tc>
          <w:tcPr>
            <w:tcW w:w="6624" w:type="dxa"/>
            <w:vAlign w:val="center"/>
          </w:tcPr>
          <w:p>
            <w:pPr>
              <w:spacing w:line="400" w:lineRule="exact"/>
              <w:jc w:val="both"/>
              <w:rPr>
                <w:rFonts w:hAnsi="宋体"/>
                <w:sz w:val="21"/>
                <w:szCs w:val="21"/>
              </w:rPr>
            </w:pPr>
            <w:r>
              <w:rPr>
                <w:rFonts w:hAnsi="宋体" w:cs="宋体"/>
                <w:sz w:val="21"/>
                <w:szCs w:val="21"/>
              </w:rPr>
              <w:t>递交竞争性谈判响应文件</w:t>
            </w:r>
            <w:r>
              <w:rPr>
                <w:rFonts w:hint="eastAsia" w:hAnsi="宋体" w:cs="宋体"/>
                <w:sz w:val="21"/>
                <w:szCs w:val="21"/>
              </w:rPr>
              <w:t>的同时</w:t>
            </w:r>
            <w:r>
              <w:rPr>
                <w:rFonts w:hAnsi="宋体" w:cs="宋体"/>
                <w:sz w:val="21"/>
                <w:szCs w:val="21"/>
              </w:rPr>
              <w:t>交纳有效</w:t>
            </w:r>
            <w:r>
              <w:rPr>
                <w:rFonts w:hAnsi="宋体" w:cs="宋体"/>
                <w:sz w:val="21"/>
                <w:szCs w:val="21"/>
                <w:u w:val="single"/>
              </w:rPr>
              <w:t> </w:t>
            </w:r>
            <w:r>
              <w:rPr>
                <w:rFonts w:hAnsi="宋体" w:cs="宋体"/>
                <w:b/>
                <w:sz w:val="21"/>
                <w:szCs w:val="21"/>
                <w:u w:val="single"/>
              </w:rPr>
              <w:t>转账支票或银行</w:t>
            </w:r>
            <w:r>
              <w:rPr>
                <w:rFonts w:hint="eastAsia" w:hAnsi="宋体" w:cs="宋体"/>
                <w:b/>
                <w:sz w:val="21"/>
                <w:szCs w:val="21"/>
                <w:u w:val="single"/>
              </w:rPr>
              <w:t>本</w:t>
            </w:r>
            <w:r>
              <w:rPr>
                <w:rFonts w:hAnsi="宋体" w:cs="宋体"/>
                <w:b/>
                <w:sz w:val="21"/>
                <w:szCs w:val="21"/>
                <w:u w:val="single"/>
              </w:rPr>
              <w:t>票</w:t>
            </w:r>
            <w:r>
              <w:rPr>
                <w:rFonts w:hint="eastAsia" w:hAnsi="宋体" w:cs="宋体"/>
                <w:b/>
                <w:sz w:val="21"/>
                <w:szCs w:val="21"/>
                <w:u w:val="single"/>
              </w:rPr>
              <w:t>、汇票</w:t>
            </w:r>
            <w:r>
              <w:rPr>
                <w:rFonts w:hAnsi="宋体" w:cs="宋体"/>
                <w:b/>
                <w:sz w:val="21"/>
                <w:szCs w:val="21"/>
                <w:u w:val="single"/>
              </w:rPr>
              <w:t>等</w:t>
            </w:r>
            <w:r>
              <w:rPr>
                <w:rFonts w:hAnsi="宋体" w:cs="宋体"/>
                <w:sz w:val="21"/>
                <w:szCs w:val="21"/>
              </w:rPr>
              <w:t>（收款人：南京审计</w:t>
            </w:r>
            <w:r>
              <w:rPr>
                <w:rFonts w:hint="eastAsia" w:hAnsi="宋体" w:cs="宋体"/>
                <w:sz w:val="21"/>
                <w:szCs w:val="21"/>
              </w:rPr>
              <w:t>大学</w:t>
            </w:r>
            <w:r>
              <w:rPr>
                <w:rFonts w:hAnsi="宋体" w:cs="宋体"/>
                <w:sz w:val="21"/>
                <w:szCs w:val="21"/>
              </w:rPr>
              <w:t>；开户行：南京市工行汉府支行；</w:t>
            </w:r>
            <w:r>
              <w:rPr>
                <w:rFonts w:hint="eastAsia" w:hAnsi="宋体" w:cs="宋体"/>
                <w:sz w:val="21"/>
                <w:szCs w:val="21"/>
              </w:rPr>
              <w:t>账</w:t>
            </w:r>
            <w:r>
              <w:rPr>
                <w:rFonts w:hAnsi="宋体" w:cs="宋体"/>
                <w:sz w:val="21"/>
                <w:szCs w:val="21"/>
              </w:rPr>
              <w:t>号</w:t>
            </w:r>
            <w:r>
              <w:rPr>
                <w:rFonts w:hint="eastAsia" w:hAnsi="宋体" w:cs="宋体"/>
                <w:sz w:val="21"/>
                <w:szCs w:val="21"/>
              </w:rPr>
              <w:t>：</w:t>
            </w:r>
            <w:r>
              <w:rPr>
                <w:rFonts w:hAnsi="宋体"/>
                <w:sz w:val="21"/>
                <w:szCs w:val="21"/>
              </w:rPr>
              <w:t>43010158 1910 0302 596</w:t>
            </w:r>
            <w:r>
              <w:rPr>
                <w:rFonts w:hAnsi="宋体" w:cs="宋体"/>
                <w:sz w:val="21"/>
                <w:szCs w:val="21"/>
              </w:rPr>
              <w:t>；</w:t>
            </w:r>
            <w:r>
              <w:rPr>
                <w:rFonts w:hint="eastAsia" w:hAnsi="宋体" w:cs="宋体"/>
                <w:b/>
                <w:sz w:val="21"/>
                <w:szCs w:val="21"/>
              </w:rPr>
              <w:t>注：</w:t>
            </w:r>
            <w:r>
              <w:rPr>
                <w:rFonts w:hAnsi="宋体" w:cs="宋体"/>
                <w:b/>
                <w:sz w:val="21"/>
                <w:szCs w:val="21"/>
              </w:rPr>
              <w:t>不接受现金形式的投标保证金</w:t>
            </w:r>
            <w:r>
              <w:rPr>
                <w:rFonts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95" w:hRule="atLeast"/>
        </w:trPr>
        <w:tc>
          <w:tcPr>
            <w:tcW w:w="661" w:type="dxa"/>
            <w:vAlign w:val="center"/>
          </w:tcPr>
          <w:p>
            <w:pPr>
              <w:spacing w:line="400" w:lineRule="exact"/>
              <w:jc w:val="center"/>
              <w:rPr>
                <w:rFonts w:hAnsi="宋体"/>
                <w:sz w:val="21"/>
                <w:szCs w:val="21"/>
              </w:rPr>
            </w:pPr>
            <w:r>
              <w:rPr>
                <w:rFonts w:hint="eastAsia" w:hAnsi="宋体"/>
                <w:sz w:val="21"/>
                <w:szCs w:val="21"/>
              </w:rPr>
              <w:t>1</w:t>
            </w:r>
            <w:r>
              <w:rPr>
                <w:rFonts w:hAnsi="宋体"/>
                <w:sz w:val="21"/>
                <w:szCs w:val="21"/>
              </w:rPr>
              <w:t>1</w:t>
            </w:r>
          </w:p>
        </w:tc>
        <w:tc>
          <w:tcPr>
            <w:tcW w:w="1562" w:type="dxa"/>
            <w:vAlign w:val="center"/>
          </w:tcPr>
          <w:p>
            <w:pPr>
              <w:spacing w:line="400" w:lineRule="exact"/>
              <w:jc w:val="both"/>
              <w:rPr>
                <w:rFonts w:hAnsi="宋体"/>
                <w:sz w:val="21"/>
                <w:szCs w:val="21"/>
              </w:rPr>
            </w:pPr>
            <w:r>
              <w:rPr>
                <w:rFonts w:hint="eastAsia" w:hAnsi="宋体"/>
                <w:sz w:val="21"/>
                <w:szCs w:val="21"/>
              </w:rPr>
              <w:t>谈判响应文件</w:t>
            </w:r>
          </w:p>
          <w:p>
            <w:pPr>
              <w:spacing w:line="400" w:lineRule="exact"/>
              <w:jc w:val="both"/>
              <w:rPr>
                <w:rFonts w:hAnsi="宋体"/>
                <w:sz w:val="21"/>
                <w:szCs w:val="21"/>
              </w:rPr>
            </w:pPr>
            <w:r>
              <w:rPr>
                <w:rFonts w:hint="eastAsia" w:hAnsi="宋体"/>
                <w:sz w:val="21"/>
                <w:szCs w:val="21"/>
              </w:rPr>
              <w:t>递交</w:t>
            </w:r>
          </w:p>
        </w:tc>
        <w:tc>
          <w:tcPr>
            <w:tcW w:w="6624" w:type="dxa"/>
            <w:vAlign w:val="center"/>
          </w:tcPr>
          <w:p>
            <w:pPr>
              <w:spacing w:line="400" w:lineRule="exact"/>
              <w:jc w:val="both"/>
              <w:rPr>
                <w:rFonts w:hAnsi="宋体"/>
                <w:sz w:val="21"/>
                <w:szCs w:val="21"/>
              </w:rPr>
            </w:pPr>
            <w:r>
              <w:rPr>
                <w:rFonts w:hint="eastAsia" w:hAnsi="宋体"/>
                <w:sz w:val="21"/>
                <w:szCs w:val="21"/>
              </w:rPr>
              <w:t>截止时间： 2016年</w:t>
            </w:r>
            <w:r>
              <w:rPr>
                <w:rFonts w:hint="eastAsia" w:hAnsi="宋体"/>
                <w:sz w:val="21"/>
                <w:szCs w:val="21"/>
                <w:u w:val="single"/>
              </w:rPr>
              <w:t xml:space="preserve"> 1</w:t>
            </w:r>
            <w:r>
              <w:rPr>
                <w:rFonts w:hint="eastAsia" w:hAnsi="宋体"/>
                <w:sz w:val="21"/>
                <w:szCs w:val="21"/>
                <w:u w:val="single"/>
                <w:lang w:val="en-US" w:eastAsia="zh-CN"/>
              </w:rPr>
              <w:t>1</w:t>
            </w:r>
            <w:r>
              <w:rPr>
                <w:rFonts w:hint="eastAsia" w:hAnsi="宋体"/>
                <w:sz w:val="21"/>
                <w:szCs w:val="21"/>
                <w:u w:val="single"/>
              </w:rPr>
              <w:t xml:space="preserve"> </w:t>
            </w:r>
            <w:r>
              <w:rPr>
                <w:rFonts w:hint="eastAsia" w:hAnsi="宋体"/>
                <w:sz w:val="21"/>
                <w:szCs w:val="21"/>
              </w:rPr>
              <w:t>月</w:t>
            </w:r>
            <w:r>
              <w:rPr>
                <w:rFonts w:hint="eastAsia" w:hAnsi="宋体"/>
                <w:sz w:val="21"/>
                <w:szCs w:val="21"/>
                <w:u w:val="single"/>
              </w:rPr>
              <w:t xml:space="preserve"> </w:t>
            </w:r>
            <w:r>
              <w:rPr>
                <w:rFonts w:hint="eastAsia" w:hAnsi="宋体"/>
                <w:sz w:val="21"/>
                <w:szCs w:val="21"/>
                <w:u w:val="single"/>
                <w:lang w:val="en-US" w:eastAsia="zh-CN"/>
              </w:rPr>
              <w:t>30</w:t>
            </w:r>
            <w:r>
              <w:rPr>
                <w:rFonts w:hint="eastAsia" w:hAnsi="宋体"/>
                <w:sz w:val="21"/>
                <w:szCs w:val="21"/>
                <w:u w:val="single"/>
              </w:rPr>
              <w:t xml:space="preserve"> </w:t>
            </w:r>
            <w:r>
              <w:rPr>
                <w:rFonts w:hint="eastAsia" w:hAnsi="宋体"/>
                <w:sz w:val="21"/>
                <w:szCs w:val="21"/>
              </w:rPr>
              <w:t>日上午</w:t>
            </w:r>
            <w:r>
              <w:rPr>
                <w:rFonts w:hAnsi="宋体"/>
                <w:sz w:val="21"/>
                <w:szCs w:val="21"/>
              </w:rPr>
              <w:t>9</w:t>
            </w:r>
            <w:r>
              <w:rPr>
                <w:rFonts w:hint="eastAsia" w:hAnsi="宋体"/>
                <w:sz w:val="21"/>
                <w:szCs w:val="21"/>
              </w:rPr>
              <w:t>:</w:t>
            </w:r>
            <w:r>
              <w:rPr>
                <w:rFonts w:hAnsi="宋体"/>
                <w:sz w:val="21"/>
                <w:szCs w:val="21"/>
              </w:rPr>
              <w:t>00</w:t>
            </w:r>
          </w:p>
          <w:p>
            <w:pPr>
              <w:spacing w:line="400" w:lineRule="exact"/>
              <w:jc w:val="both"/>
              <w:rPr>
                <w:rFonts w:hAnsi="宋体"/>
                <w:sz w:val="21"/>
                <w:szCs w:val="21"/>
              </w:rPr>
            </w:pPr>
            <w:r>
              <w:rPr>
                <w:rFonts w:hint="eastAsia" w:hAnsi="宋体"/>
                <w:sz w:val="21"/>
                <w:szCs w:val="21"/>
              </w:rPr>
              <w:t>地点： 南京审计大学浦口校区沁园致明楼416室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661" w:type="dxa"/>
            <w:vAlign w:val="center"/>
          </w:tcPr>
          <w:p>
            <w:pPr>
              <w:spacing w:line="400" w:lineRule="exact"/>
              <w:jc w:val="center"/>
              <w:rPr>
                <w:rFonts w:hAnsi="宋体"/>
                <w:sz w:val="21"/>
                <w:szCs w:val="21"/>
              </w:rPr>
            </w:pPr>
            <w:r>
              <w:rPr>
                <w:rFonts w:hint="eastAsia" w:hAnsi="宋体"/>
                <w:sz w:val="21"/>
                <w:szCs w:val="21"/>
              </w:rPr>
              <w:t>1</w:t>
            </w:r>
            <w:r>
              <w:rPr>
                <w:rFonts w:hAnsi="宋体"/>
                <w:sz w:val="21"/>
                <w:szCs w:val="21"/>
              </w:rPr>
              <w:t>2</w:t>
            </w:r>
          </w:p>
        </w:tc>
        <w:tc>
          <w:tcPr>
            <w:tcW w:w="1562" w:type="dxa"/>
            <w:vAlign w:val="center"/>
          </w:tcPr>
          <w:p>
            <w:pPr>
              <w:spacing w:line="400" w:lineRule="exact"/>
              <w:jc w:val="both"/>
              <w:rPr>
                <w:rFonts w:hAnsi="宋体"/>
                <w:sz w:val="21"/>
                <w:szCs w:val="21"/>
              </w:rPr>
            </w:pPr>
            <w:r>
              <w:rPr>
                <w:rFonts w:hint="eastAsia" w:hAnsi="宋体"/>
                <w:sz w:val="21"/>
                <w:szCs w:val="21"/>
              </w:rPr>
              <w:t>谈判响应文件</w:t>
            </w:r>
          </w:p>
          <w:p>
            <w:pPr>
              <w:spacing w:line="400" w:lineRule="exact"/>
              <w:jc w:val="both"/>
              <w:rPr>
                <w:rFonts w:hAnsi="宋体"/>
                <w:sz w:val="21"/>
                <w:szCs w:val="21"/>
              </w:rPr>
            </w:pPr>
            <w:r>
              <w:rPr>
                <w:rFonts w:hint="eastAsia" w:hAnsi="宋体"/>
                <w:sz w:val="21"/>
                <w:szCs w:val="21"/>
              </w:rPr>
              <w:t>数量</w:t>
            </w:r>
          </w:p>
        </w:tc>
        <w:tc>
          <w:tcPr>
            <w:tcW w:w="6624" w:type="dxa"/>
            <w:vAlign w:val="center"/>
          </w:tcPr>
          <w:p>
            <w:pPr>
              <w:spacing w:line="400" w:lineRule="exact"/>
              <w:jc w:val="both"/>
              <w:rPr>
                <w:rFonts w:hAnsi="宋体"/>
                <w:sz w:val="21"/>
                <w:szCs w:val="21"/>
              </w:rPr>
            </w:pPr>
            <w:r>
              <w:rPr>
                <w:rFonts w:hint="eastAsia" w:hAnsi="宋体"/>
                <w:sz w:val="21"/>
                <w:szCs w:val="21"/>
              </w:rPr>
              <w:t>正本份数：</w:t>
            </w:r>
            <w:r>
              <w:rPr>
                <w:rFonts w:hint="eastAsia" w:hAnsi="宋体"/>
                <w:sz w:val="21"/>
                <w:szCs w:val="21"/>
                <w:u w:val="single"/>
              </w:rPr>
              <w:t xml:space="preserve"> 壹 </w:t>
            </w:r>
            <w:r>
              <w:rPr>
                <w:rFonts w:hint="eastAsia" w:hAnsi="宋体"/>
                <w:sz w:val="21"/>
                <w:szCs w:val="21"/>
              </w:rPr>
              <w:t>份</w:t>
            </w:r>
          </w:p>
          <w:p>
            <w:pPr>
              <w:spacing w:line="400" w:lineRule="exact"/>
              <w:jc w:val="both"/>
              <w:rPr>
                <w:rFonts w:hAnsi="宋体"/>
                <w:sz w:val="21"/>
                <w:szCs w:val="21"/>
              </w:rPr>
            </w:pPr>
            <w:r>
              <w:rPr>
                <w:rFonts w:hint="eastAsia" w:hAnsi="宋体"/>
                <w:sz w:val="21"/>
                <w:szCs w:val="21"/>
              </w:rPr>
              <w:t>副本份数：</w:t>
            </w:r>
            <w:r>
              <w:rPr>
                <w:rFonts w:hint="eastAsia" w:hAnsi="宋体"/>
                <w:sz w:val="21"/>
                <w:szCs w:val="21"/>
                <w:u w:val="single"/>
              </w:rPr>
              <w:t xml:space="preserve"> 肆 </w:t>
            </w:r>
            <w:r>
              <w:rPr>
                <w:rFonts w:hint="eastAsia" w:hAnsi="宋体"/>
                <w:sz w:val="21"/>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61" w:type="dxa"/>
            <w:vAlign w:val="center"/>
          </w:tcPr>
          <w:p>
            <w:pPr>
              <w:spacing w:line="400" w:lineRule="exact"/>
              <w:jc w:val="center"/>
              <w:rPr>
                <w:rFonts w:hAnsi="宋体"/>
                <w:sz w:val="21"/>
                <w:szCs w:val="21"/>
              </w:rPr>
            </w:pPr>
            <w:r>
              <w:rPr>
                <w:rFonts w:hint="eastAsia" w:hAnsi="宋体"/>
                <w:sz w:val="21"/>
                <w:szCs w:val="21"/>
              </w:rPr>
              <w:t>1</w:t>
            </w:r>
            <w:r>
              <w:rPr>
                <w:rFonts w:hAnsi="宋体"/>
                <w:sz w:val="21"/>
                <w:szCs w:val="21"/>
              </w:rPr>
              <w:t>3</w:t>
            </w:r>
          </w:p>
        </w:tc>
        <w:tc>
          <w:tcPr>
            <w:tcW w:w="1562" w:type="dxa"/>
            <w:vAlign w:val="center"/>
          </w:tcPr>
          <w:p>
            <w:pPr>
              <w:spacing w:line="400" w:lineRule="exact"/>
              <w:jc w:val="both"/>
              <w:rPr>
                <w:rFonts w:hAnsi="宋体"/>
                <w:sz w:val="21"/>
                <w:szCs w:val="21"/>
              </w:rPr>
            </w:pPr>
            <w:r>
              <w:rPr>
                <w:rFonts w:hint="eastAsia" w:hAnsi="宋体"/>
                <w:sz w:val="21"/>
                <w:szCs w:val="21"/>
              </w:rPr>
              <w:t>谈判响应文件</w:t>
            </w:r>
          </w:p>
          <w:p>
            <w:pPr>
              <w:spacing w:line="400" w:lineRule="exact"/>
              <w:jc w:val="both"/>
              <w:rPr>
                <w:rFonts w:hAnsi="宋体"/>
                <w:sz w:val="21"/>
                <w:szCs w:val="21"/>
              </w:rPr>
            </w:pPr>
            <w:r>
              <w:rPr>
                <w:rFonts w:hint="eastAsia" w:hAnsi="宋体"/>
                <w:sz w:val="21"/>
                <w:szCs w:val="21"/>
              </w:rPr>
              <w:t>有效期</w:t>
            </w:r>
          </w:p>
        </w:tc>
        <w:tc>
          <w:tcPr>
            <w:tcW w:w="6624" w:type="dxa"/>
            <w:vAlign w:val="center"/>
          </w:tcPr>
          <w:p>
            <w:pPr>
              <w:spacing w:line="400" w:lineRule="exact"/>
              <w:jc w:val="both"/>
              <w:rPr>
                <w:rFonts w:hAnsi="宋体"/>
                <w:sz w:val="21"/>
                <w:szCs w:val="21"/>
                <w:u w:val="single"/>
              </w:rPr>
            </w:pPr>
            <w:r>
              <w:rPr>
                <w:rFonts w:hint="eastAsia" w:hAnsi="宋体"/>
                <w:sz w:val="21"/>
                <w:szCs w:val="21"/>
              </w:rPr>
              <w:t>谈判响应文件递交截止时间后九十天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61" w:type="dxa"/>
            <w:vAlign w:val="center"/>
          </w:tcPr>
          <w:p>
            <w:pPr>
              <w:spacing w:line="400" w:lineRule="exact"/>
              <w:jc w:val="center"/>
              <w:rPr>
                <w:rFonts w:hint="eastAsia" w:hAnsi="宋体" w:eastAsia="宋体"/>
                <w:sz w:val="21"/>
                <w:szCs w:val="21"/>
                <w:lang w:val="en-US" w:eastAsia="zh-CN"/>
              </w:rPr>
            </w:pPr>
            <w:r>
              <w:rPr>
                <w:rFonts w:hint="eastAsia" w:hAnsi="宋体"/>
                <w:sz w:val="21"/>
                <w:szCs w:val="21"/>
                <w:lang w:val="en-US" w:eastAsia="zh-CN"/>
              </w:rPr>
              <w:t>14</w:t>
            </w:r>
          </w:p>
        </w:tc>
        <w:tc>
          <w:tcPr>
            <w:tcW w:w="1562" w:type="dxa"/>
            <w:vAlign w:val="center"/>
          </w:tcPr>
          <w:p>
            <w:pPr>
              <w:spacing w:line="400" w:lineRule="exact"/>
              <w:jc w:val="both"/>
              <w:rPr>
                <w:rFonts w:hint="eastAsia" w:hAnsi="宋体" w:eastAsia="宋体"/>
                <w:sz w:val="21"/>
                <w:szCs w:val="21"/>
                <w:lang w:eastAsia="zh-CN"/>
              </w:rPr>
            </w:pPr>
            <w:r>
              <w:rPr>
                <w:rFonts w:hint="eastAsia" w:hAnsi="宋体"/>
                <w:sz w:val="21"/>
                <w:szCs w:val="21"/>
                <w:lang w:eastAsia="zh-CN"/>
              </w:rPr>
              <w:t>其他要求</w:t>
            </w:r>
          </w:p>
        </w:tc>
        <w:tc>
          <w:tcPr>
            <w:tcW w:w="6624" w:type="dxa"/>
            <w:vAlign w:val="center"/>
          </w:tcPr>
          <w:p>
            <w:pPr>
              <w:spacing w:line="400" w:lineRule="exact"/>
              <w:jc w:val="both"/>
              <w:rPr>
                <w:rFonts w:hint="eastAsia" w:hAnsi="宋体"/>
                <w:sz w:val="21"/>
                <w:szCs w:val="21"/>
              </w:rPr>
            </w:pPr>
            <w:r>
              <w:rPr>
                <w:rFonts w:hint="eastAsia"/>
                <w:sz w:val="21"/>
                <w:szCs w:val="21"/>
              </w:rPr>
              <w:t>所有分包谈判供应商须对其所投的软件进行现场演示，每个软件的演示时长不超过5分钟</w:t>
            </w:r>
          </w:p>
        </w:tc>
      </w:tr>
    </w:tbl>
    <w:p>
      <w:pPr>
        <w:widowControl/>
        <w:autoSpaceDE/>
        <w:autoSpaceDN/>
        <w:adjustRightInd/>
        <w:rPr>
          <w:rFonts w:hAnsi="宋体"/>
          <w:b/>
          <w:bCs/>
          <w:sz w:val="32"/>
          <w:szCs w:val="32"/>
        </w:rPr>
      </w:pPr>
      <w:bookmarkStart w:id="3" w:name="_Toc279409997"/>
    </w:p>
    <w:p>
      <w:pPr>
        <w:pStyle w:val="3"/>
        <w:numPr>
          <w:ilvl w:val="0"/>
          <w:numId w:val="1"/>
        </w:numPr>
        <w:spacing w:line="360" w:lineRule="auto"/>
        <w:jc w:val="center"/>
        <w:rPr>
          <w:rFonts w:ascii="宋体" w:hAnsi="宋体" w:eastAsia="宋体"/>
        </w:rPr>
      </w:pPr>
      <w:bookmarkStart w:id="4" w:name="_Toc7118"/>
      <w:r>
        <w:rPr>
          <w:rFonts w:hint="eastAsia" w:ascii="宋体" w:hAnsi="宋体" w:eastAsia="宋体"/>
        </w:rPr>
        <w:t>总则</w:t>
      </w:r>
      <w:bookmarkEnd w:id="4"/>
    </w:p>
    <w:p>
      <w:pPr>
        <w:pStyle w:val="3"/>
        <w:spacing w:line="360" w:lineRule="auto"/>
        <w:rPr>
          <w:rFonts w:ascii="宋体" w:hAnsi="宋体" w:eastAsia="宋体"/>
        </w:rPr>
      </w:pPr>
      <w:bookmarkStart w:id="5" w:name="_Toc18966"/>
      <w:r>
        <w:rPr>
          <w:rFonts w:hint="eastAsia" w:ascii="宋体" w:hAnsi="宋体" w:eastAsia="宋体"/>
        </w:rPr>
        <w:t>1．适用范围</w:t>
      </w:r>
      <w:bookmarkEnd w:id="5"/>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本谈判采购文件仅适用于南京审计大学（以下简称采购人）组织的竞争性谈判采购活动。</w:t>
      </w:r>
    </w:p>
    <w:p>
      <w:pPr>
        <w:pStyle w:val="3"/>
        <w:spacing w:line="360" w:lineRule="auto"/>
        <w:rPr>
          <w:rFonts w:ascii="宋体" w:hAnsi="宋体" w:eastAsia="宋体"/>
        </w:rPr>
      </w:pPr>
      <w:bookmarkStart w:id="6" w:name="_Toc19238"/>
      <w:r>
        <w:rPr>
          <w:rFonts w:hint="eastAsia" w:ascii="宋体" w:hAnsi="宋体" w:eastAsia="宋体"/>
        </w:rPr>
        <w:t>2．合格的谈判供应商</w:t>
      </w:r>
      <w:bookmarkEnd w:id="3"/>
      <w:bookmarkEnd w:id="6"/>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2.1 凡有能力按照本谈判采购文件规定的要求交付货物、工程和服务的供应商均可成为合格的谈判供应商。</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2.2 谈判供应商参加本次竞争性谈判采购活动应符合《中华人民共和国政府采购法》第二十二条规定并具备下列条件（请公共</w:t>
      </w:r>
      <w:r>
        <w:rPr>
          <w:rFonts w:ascii="宋体" w:hAnsi="宋体"/>
          <w:kern w:val="0"/>
          <w:sz w:val="24"/>
          <w:szCs w:val="28"/>
        </w:rPr>
        <w:t>经济</w:t>
      </w:r>
      <w:r>
        <w:rPr>
          <w:rFonts w:hint="eastAsia" w:ascii="宋体" w:hAnsi="宋体"/>
          <w:kern w:val="0"/>
          <w:sz w:val="24"/>
          <w:szCs w:val="28"/>
        </w:rPr>
        <w:t>学院</w:t>
      </w:r>
      <w:r>
        <w:rPr>
          <w:rFonts w:ascii="宋体" w:hAnsi="宋体"/>
          <w:kern w:val="0"/>
          <w:sz w:val="24"/>
          <w:szCs w:val="28"/>
        </w:rPr>
        <w:t>明确下列</w:t>
      </w:r>
      <w:r>
        <w:rPr>
          <w:rFonts w:hint="eastAsia" w:ascii="宋体" w:hAnsi="宋体"/>
          <w:kern w:val="0"/>
          <w:sz w:val="24"/>
          <w:szCs w:val="28"/>
        </w:rPr>
        <w:t>条件是否</w:t>
      </w:r>
      <w:r>
        <w:rPr>
          <w:rFonts w:ascii="宋体" w:hAnsi="宋体"/>
          <w:kern w:val="0"/>
          <w:sz w:val="24"/>
          <w:szCs w:val="28"/>
        </w:rPr>
        <w:t>需要）</w:t>
      </w:r>
      <w:r>
        <w:rPr>
          <w:rFonts w:hint="eastAsia" w:ascii="宋体" w:hAnsi="宋体"/>
          <w:kern w:val="0"/>
          <w:sz w:val="24"/>
          <w:szCs w:val="28"/>
        </w:rPr>
        <w:t>：</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2.2.1 谈判供应商必须是国内注册并符合所投软件销售</w:t>
      </w:r>
      <w:r>
        <w:rPr>
          <w:rFonts w:ascii="宋体" w:hAnsi="宋体"/>
          <w:kern w:val="0"/>
          <w:sz w:val="24"/>
          <w:szCs w:val="28"/>
        </w:rPr>
        <w:t>资格</w:t>
      </w:r>
      <w:r>
        <w:rPr>
          <w:rFonts w:hint="eastAsia" w:ascii="宋体" w:hAnsi="宋体"/>
          <w:kern w:val="0"/>
          <w:sz w:val="24"/>
          <w:szCs w:val="28"/>
        </w:rPr>
        <w:t>的独立法人；</w:t>
      </w:r>
    </w:p>
    <w:p>
      <w:pPr>
        <w:pStyle w:val="33"/>
        <w:spacing w:line="360" w:lineRule="auto"/>
        <w:ind w:left="0" w:firstLine="480" w:firstLineChars="200"/>
        <w:rPr>
          <w:rFonts w:ascii="宋体" w:hAnsi="宋体"/>
          <w:kern w:val="0"/>
          <w:sz w:val="24"/>
          <w:szCs w:val="28"/>
        </w:rPr>
      </w:pPr>
      <w:r>
        <w:rPr>
          <w:rFonts w:ascii="宋体" w:hAnsi="宋体"/>
          <w:kern w:val="0"/>
          <w:sz w:val="24"/>
          <w:szCs w:val="28"/>
        </w:rPr>
        <w:t xml:space="preserve">2.2.2 </w:t>
      </w:r>
      <w:r>
        <w:rPr>
          <w:rFonts w:hint="eastAsia" w:ascii="宋体" w:hAnsi="宋体"/>
          <w:kern w:val="0"/>
          <w:sz w:val="24"/>
          <w:szCs w:val="28"/>
        </w:rPr>
        <w:t>谈判</w:t>
      </w:r>
      <w:r>
        <w:rPr>
          <w:rFonts w:ascii="宋体" w:hAnsi="宋体"/>
          <w:kern w:val="0"/>
          <w:sz w:val="24"/>
          <w:szCs w:val="28"/>
        </w:rPr>
        <w:t>供应商必须具有所投软件的软件著作权证书</w:t>
      </w:r>
      <w:r>
        <w:rPr>
          <w:rFonts w:hint="eastAsia" w:ascii="宋体" w:hAnsi="宋体"/>
          <w:kern w:val="0"/>
          <w:sz w:val="24"/>
          <w:szCs w:val="28"/>
        </w:rPr>
        <w:t>；</w:t>
      </w:r>
    </w:p>
    <w:p>
      <w:pPr>
        <w:pStyle w:val="33"/>
        <w:spacing w:line="360" w:lineRule="auto"/>
        <w:ind w:left="0" w:firstLine="480" w:firstLineChars="200"/>
        <w:rPr>
          <w:rFonts w:ascii="宋体" w:hAnsi="宋体"/>
          <w:kern w:val="0"/>
          <w:sz w:val="24"/>
          <w:szCs w:val="28"/>
        </w:rPr>
      </w:pPr>
      <w:r>
        <w:rPr>
          <w:rFonts w:ascii="宋体" w:hAnsi="宋体"/>
          <w:kern w:val="0"/>
          <w:sz w:val="24"/>
          <w:szCs w:val="28"/>
        </w:rPr>
        <w:t xml:space="preserve">2.2.3 </w:t>
      </w:r>
      <w:r>
        <w:rPr>
          <w:rFonts w:hint="eastAsia" w:ascii="宋体" w:hAnsi="宋体"/>
          <w:kern w:val="0"/>
          <w:sz w:val="24"/>
          <w:szCs w:val="28"/>
        </w:rPr>
        <w:t>近两年来谈判</w:t>
      </w:r>
      <w:r>
        <w:rPr>
          <w:rFonts w:ascii="宋体" w:hAnsi="宋体"/>
          <w:kern w:val="0"/>
          <w:sz w:val="24"/>
          <w:szCs w:val="28"/>
        </w:rPr>
        <w:t>供应商须具有</w:t>
      </w:r>
      <w:r>
        <w:rPr>
          <w:rFonts w:hint="eastAsia" w:ascii="宋体" w:hAnsi="宋体"/>
          <w:kern w:val="0"/>
          <w:sz w:val="24"/>
          <w:szCs w:val="28"/>
        </w:rPr>
        <w:t>3个</w:t>
      </w:r>
      <w:r>
        <w:rPr>
          <w:rFonts w:ascii="宋体" w:hAnsi="宋体"/>
          <w:kern w:val="0"/>
          <w:sz w:val="24"/>
          <w:szCs w:val="28"/>
        </w:rPr>
        <w:t>以上</w:t>
      </w:r>
      <w:r>
        <w:rPr>
          <w:rFonts w:hint="eastAsia" w:ascii="宋体" w:hAnsi="宋体"/>
          <w:kern w:val="0"/>
          <w:sz w:val="24"/>
          <w:szCs w:val="28"/>
        </w:rPr>
        <w:t>类似</w:t>
      </w:r>
      <w:r>
        <w:rPr>
          <w:rFonts w:ascii="宋体" w:hAnsi="宋体"/>
          <w:kern w:val="0"/>
          <w:sz w:val="24"/>
          <w:szCs w:val="28"/>
        </w:rPr>
        <w:t>业绩</w:t>
      </w:r>
      <w:r>
        <w:rPr>
          <w:rFonts w:hint="eastAsia" w:ascii="宋体" w:hAnsi="宋体"/>
          <w:kern w:val="0"/>
          <w:sz w:val="24"/>
          <w:szCs w:val="28"/>
        </w:rPr>
        <w:t>；</w:t>
      </w:r>
    </w:p>
    <w:p>
      <w:pPr>
        <w:pStyle w:val="33"/>
        <w:spacing w:line="360" w:lineRule="auto"/>
        <w:ind w:left="0" w:firstLine="480" w:firstLineChars="200"/>
        <w:rPr>
          <w:rFonts w:ascii="宋体" w:hAnsi="宋体"/>
          <w:kern w:val="0"/>
          <w:sz w:val="24"/>
          <w:szCs w:val="28"/>
        </w:rPr>
      </w:pPr>
      <w:r>
        <w:rPr>
          <w:rFonts w:ascii="宋体" w:hAnsi="宋体"/>
          <w:kern w:val="0"/>
          <w:sz w:val="24"/>
          <w:szCs w:val="28"/>
        </w:rPr>
        <w:t xml:space="preserve">2.2.4 </w:t>
      </w:r>
      <w:r>
        <w:rPr>
          <w:rFonts w:hint="eastAsia" w:ascii="宋体" w:hAnsi="宋体"/>
          <w:kern w:val="0"/>
          <w:sz w:val="24"/>
          <w:szCs w:val="28"/>
        </w:rPr>
        <w:t>分包</w:t>
      </w:r>
      <w:r>
        <w:rPr>
          <w:rFonts w:ascii="宋体" w:hAnsi="宋体"/>
          <w:kern w:val="0"/>
          <w:sz w:val="24"/>
          <w:szCs w:val="28"/>
        </w:rPr>
        <w:t>4</w:t>
      </w:r>
      <w:r>
        <w:rPr>
          <w:rFonts w:hint="eastAsia" w:ascii="宋体" w:hAnsi="宋体"/>
          <w:kern w:val="0"/>
          <w:sz w:val="24"/>
          <w:szCs w:val="28"/>
        </w:rPr>
        <w:t>的谈判供应商必须具备中华人民共和国信息产业部计算机信息系统集成；</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2.2.5</w:t>
      </w:r>
      <w:r>
        <w:rPr>
          <w:rFonts w:ascii="宋体" w:hAnsi="宋体"/>
          <w:kern w:val="0"/>
          <w:sz w:val="24"/>
          <w:szCs w:val="28"/>
        </w:rPr>
        <w:t xml:space="preserve"> </w:t>
      </w:r>
      <w:r>
        <w:rPr>
          <w:rFonts w:hint="eastAsia" w:ascii="宋体" w:hAnsi="宋体"/>
          <w:kern w:val="0"/>
          <w:sz w:val="24"/>
          <w:szCs w:val="28"/>
        </w:rPr>
        <w:t>分包</w:t>
      </w:r>
      <w:r>
        <w:rPr>
          <w:rFonts w:ascii="宋体" w:hAnsi="宋体"/>
          <w:kern w:val="0"/>
          <w:sz w:val="24"/>
          <w:szCs w:val="28"/>
        </w:rPr>
        <w:t>4</w:t>
      </w:r>
      <w:r>
        <w:rPr>
          <w:rFonts w:hint="eastAsia" w:ascii="宋体" w:hAnsi="宋体"/>
          <w:kern w:val="0"/>
          <w:sz w:val="24"/>
          <w:szCs w:val="28"/>
        </w:rPr>
        <w:t>的谈判供应商必须具有GB/T 19001-2000或ISO 9001：2000标准质量管理体系认证。</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2.3谈判供应商应遵守中华人民共和国《政府采购法》、《招标投标法》《合同法》和《反不正当竞争法》等有关法律、法规，如有违反，将视为不合格谈判供应商，其谈判响应文件无效。</w:t>
      </w:r>
    </w:p>
    <w:p>
      <w:pPr>
        <w:pStyle w:val="3"/>
        <w:spacing w:line="360" w:lineRule="auto"/>
        <w:rPr>
          <w:rFonts w:ascii="宋体" w:hAnsi="宋体" w:eastAsia="宋体"/>
        </w:rPr>
      </w:pPr>
      <w:bookmarkStart w:id="7" w:name="_Toc751"/>
      <w:r>
        <w:rPr>
          <w:rFonts w:hint="eastAsia" w:ascii="宋体" w:hAnsi="宋体" w:eastAsia="宋体"/>
        </w:rPr>
        <w:t>3．竞争性谈判费用</w:t>
      </w:r>
      <w:bookmarkEnd w:id="7"/>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竞争性谈判供应商应承担所有与准备和参加竞争性谈判有关的费用。不论竞争性谈判的结果如何，采购人均无义务和责任承担这些费用。</w:t>
      </w:r>
    </w:p>
    <w:p>
      <w:pPr>
        <w:pStyle w:val="3"/>
        <w:spacing w:line="360" w:lineRule="auto"/>
        <w:rPr>
          <w:rFonts w:ascii="宋体" w:hAnsi="宋体" w:eastAsia="宋体"/>
        </w:rPr>
      </w:pPr>
      <w:bookmarkStart w:id="8" w:name="_Toc20122"/>
      <w:r>
        <w:rPr>
          <w:rFonts w:hint="eastAsia" w:ascii="宋体" w:hAnsi="宋体" w:eastAsia="宋体"/>
        </w:rPr>
        <w:t>4．法律适用</w:t>
      </w:r>
      <w:bookmarkEnd w:id="8"/>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本次竞争性谈判活动及由本次竞争性谈判产生的合同受中华人民共和国的法律制约和保护。</w:t>
      </w:r>
    </w:p>
    <w:p>
      <w:pPr>
        <w:pStyle w:val="3"/>
        <w:spacing w:line="360" w:lineRule="auto"/>
        <w:rPr>
          <w:rFonts w:ascii="宋体" w:hAnsi="宋体" w:eastAsia="宋体"/>
        </w:rPr>
      </w:pPr>
      <w:bookmarkStart w:id="9" w:name="_Toc321385701"/>
      <w:bookmarkStart w:id="10" w:name="_Toc26293"/>
      <w:r>
        <w:rPr>
          <w:rFonts w:hint="eastAsia" w:ascii="宋体" w:hAnsi="宋体" w:eastAsia="宋体"/>
        </w:rPr>
        <w:t>5．谈判采购文件的约束力</w:t>
      </w:r>
      <w:bookmarkEnd w:id="9"/>
      <w:bookmarkEnd w:id="10"/>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5．1谈判供应商一旦参加竞争性谈判，即被认为接受了本谈判采购文件中的所有条款和规定。</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5.2 本谈判采购文件由采购人负责解释。</w:t>
      </w:r>
    </w:p>
    <w:p>
      <w:pPr>
        <w:pStyle w:val="3"/>
        <w:spacing w:line="360" w:lineRule="auto"/>
        <w:jc w:val="center"/>
        <w:rPr>
          <w:rFonts w:ascii="宋体" w:hAnsi="宋体" w:eastAsia="宋体"/>
        </w:rPr>
      </w:pPr>
      <w:bookmarkStart w:id="11" w:name="_Toc321385702"/>
      <w:bookmarkStart w:id="12" w:name="_Toc28806"/>
      <w:r>
        <w:rPr>
          <w:rFonts w:hint="eastAsia" w:ascii="宋体" w:hAnsi="宋体" w:eastAsia="宋体"/>
        </w:rPr>
        <w:t>二、谈判采购文件</w:t>
      </w:r>
      <w:bookmarkEnd w:id="11"/>
      <w:bookmarkEnd w:id="12"/>
    </w:p>
    <w:p>
      <w:pPr>
        <w:pStyle w:val="3"/>
        <w:spacing w:line="360" w:lineRule="auto"/>
        <w:rPr>
          <w:rFonts w:ascii="宋体" w:hAnsi="宋体" w:eastAsia="宋体"/>
        </w:rPr>
      </w:pPr>
      <w:bookmarkStart w:id="13" w:name="_Toc321385703"/>
      <w:bookmarkStart w:id="14" w:name="_Toc21086"/>
      <w:r>
        <w:rPr>
          <w:rFonts w:hint="eastAsia" w:ascii="宋体" w:hAnsi="宋体" w:eastAsia="宋体"/>
        </w:rPr>
        <w:t>6．谈判采购文件的组成</w:t>
      </w:r>
      <w:bookmarkEnd w:id="13"/>
      <w:bookmarkEnd w:id="14"/>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6.l 谈判采购文件由四部分组成，包括：</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第一章  谈判供应商须知</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第二章  采购清单</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第三章  合同条款</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第四章  谈判响应文件格式</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请仔细检查谈判采购文件是否齐全，如有缺漏，请立即与采购人联系解决。</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6.2 谈判供应商被视为充分熟悉本竞争性谈判项目与履行合同有关的各种情况，本谈判采购文件不再对此进行描述。</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6.3 谈判供应商必须详阅谈判采购文件的所有条款、文件及表格格式。谈判供应商若未按谈判采购文件的要求和规范编制、提交谈判响应文件，将有可能导致谈判响应文件被拒绝接受。</w:t>
      </w:r>
    </w:p>
    <w:p>
      <w:pPr>
        <w:pStyle w:val="3"/>
        <w:spacing w:line="360" w:lineRule="auto"/>
        <w:rPr>
          <w:rFonts w:ascii="宋体" w:hAnsi="宋体" w:eastAsia="宋体"/>
        </w:rPr>
      </w:pPr>
      <w:bookmarkStart w:id="15" w:name="_Toc321385704"/>
      <w:bookmarkStart w:id="16" w:name="_Toc3557"/>
      <w:r>
        <w:rPr>
          <w:rFonts w:hint="eastAsia" w:ascii="宋体" w:hAnsi="宋体" w:eastAsia="宋体"/>
        </w:rPr>
        <w:t>7．谈判采购文件的澄清</w:t>
      </w:r>
      <w:bookmarkEnd w:id="15"/>
      <w:bookmarkEnd w:id="16"/>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若谈判供应商对谈判采购文件有疑点，可用书面形式在竞争性谈判响应文件递交截止时间三天前通知采购人。</w:t>
      </w:r>
    </w:p>
    <w:p>
      <w:pPr>
        <w:pStyle w:val="3"/>
        <w:rPr>
          <w:rFonts w:ascii="宋体" w:hAnsi="宋体" w:eastAsia="宋体"/>
        </w:rPr>
      </w:pPr>
      <w:bookmarkStart w:id="17" w:name="_Toc321385705"/>
      <w:bookmarkStart w:id="18" w:name="_Toc23378"/>
      <w:r>
        <w:rPr>
          <w:rFonts w:hint="eastAsia" w:ascii="宋体" w:hAnsi="宋体" w:eastAsia="宋体"/>
        </w:rPr>
        <w:t>8．谈判采购文件的更正或补充</w:t>
      </w:r>
      <w:bookmarkEnd w:id="17"/>
      <w:bookmarkEnd w:id="18"/>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8.l 在竞争性谈判响应文件递交截止时间前，由于需对谈判供应商的提问进行澄清或其他任何原因，采购人均可对谈判采购文件用书面澄清的方式进行修正。</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8.2 对谈判采购文件的更正，采购人将以更正公告的形式或传真方式通知所有谈判供应商。澄清文件将作为谈判采购文件的组成部分，对所有谈判供应商有约束力。</w:t>
      </w:r>
    </w:p>
    <w:p>
      <w:pPr>
        <w:pStyle w:val="33"/>
        <w:spacing w:line="360" w:lineRule="auto"/>
        <w:ind w:left="0" w:firstLine="0" w:firstLineChars="0"/>
        <w:rPr>
          <w:rFonts w:ascii="宋体" w:hAnsi="宋体"/>
          <w:kern w:val="0"/>
          <w:sz w:val="24"/>
          <w:szCs w:val="28"/>
        </w:rPr>
      </w:pPr>
      <w:r>
        <w:rPr>
          <w:rFonts w:hint="eastAsia" w:ascii="宋体" w:hAnsi="宋体"/>
          <w:kern w:val="0"/>
          <w:sz w:val="24"/>
          <w:szCs w:val="28"/>
        </w:rPr>
        <w:t>（网址：</w:t>
      </w:r>
      <w:r>
        <w:rPr>
          <w:rFonts w:ascii="宋体" w:hAnsi="宋体"/>
          <w:kern w:val="0"/>
          <w:sz w:val="24"/>
          <w:szCs w:val="28"/>
        </w:rPr>
        <w:t>http://www.nau.edu.cn/s/21/t/5/p/6/c/1119/d/3539/list.jspy</w:t>
      </w:r>
      <w:r>
        <w:rPr>
          <w:rFonts w:hint="eastAsia" w:ascii="宋体" w:hAnsi="宋体"/>
          <w:kern w:val="0"/>
          <w:sz w:val="24"/>
          <w:szCs w:val="28"/>
        </w:rPr>
        <w:t>）</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8.3 当谈判采购文件与澄清文件相矛盾时，以采购人最后发出的澄清文件为准。</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8.4 谈判供应商在收到澄清文件后，应于一个工作日内正式书面回函采购人，逾期不回的，视同谈判供应商已收到澄清文件。</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8.5 为使谈判供应商有足够的时间按谈判采购文件的澄清文件修正谈判响应文件，采购人有权决定推迟竞争性谈判响应文件递交截止时间，并按8.2条规定的方式将具体变更情况通知谈判供应商。</w:t>
      </w:r>
    </w:p>
    <w:p>
      <w:pPr>
        <w:pStyle w:val="3"/>
        <w:spacing w:line="360" w:lineRule="auto"/>
        <w:jc w:val="center"/>
        <w:rPr>
          <w:rFonts w:ascii="宋体" w:hAnsi="宋体" w:eastAsia="宋体"/>
        </w:rPr>
      </w:pPr>
      <w:bookmarkStart w:id="19" w:name="_Toc321385706"/>
      <w:bookmarkStart w:id="20" w:name="_Toc18801"/>
      <w:r>
        <w:rPr>
          <w:rFonts w:hint="eastAsia" w:ascii="宋体" w:hAnsi="宋体" w:eastAsia="宋体"/>
        </w:rPr>
        <w:t>三  谈判响应文件</w:t>
      </w:r>
      <w:bookmarkEnd w:id="19"/>
      <w:bookmarkEnd w:id="20"/>
    </w:p>
    <w:p>
      <w:pPr>
        <w:pStyle w:val="3"/>
        <w:rPr>
          <w:rFonts w:ascii="宋体" w:hAnsi="宋体" w:eastAsia="宋体"/>
        </w:rPr>
      </w:pPr>
      <w:bookmarkStart w:id="21" w:name="_Toc321385707"/>
      <w:bookmarkStart w:id="22" w:name="_Toc14480"/>
      <w:r>
        <w:rPr>
          <w:rFonts w:hint="eastAsia" w:ascii="宋体" w:hAnsi="宋体" w:eastAsia="宋体"/>
        </w:rPr>
        <w:t>9．谈判响应文件的语言及度量衡</w:t>
      </w:r>
      <w:bookmarkEnd w:id="21"/>
      <w:bookmarkEnd w:id="22"/>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9.l 谈判响应文件以及谈判供应商与采购人之间的所有书面往来都应用简体中文书写。</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9.2 谈判供应商已印刷好的资料如产品样本、说明书等可以用其他语言，但其中要点应附有中文译文。在解释谈判响应文件时，以译文为准。</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9.3 除在谈判采购文件第四章中另有规定外，度量衡单位应使用国际单位制。</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9.4 本谈判响应文件所表达的时间均为北京时间。</w:t>
      </w:r>
    </w:p>
    <w:p>
      <w:pPr>
        <w:pStyle w:val="3"/>
        <w:rPr>
          <w:rFonts w:ascii="宋体" w:hAnsi="宋体" w:eastAsia="宋体"/>
        </w:rPr>
      </w:pPr>
      <w:bookmarkStart w:id="23" w:name="_Toc321385708"/>
      <w:bookmarkStart w:id="24" w:name="_Toc18613"/>
      <w:r>
        <w:rPr>
          <w:rFonts w:hint="eastAsia" w:ascii="宋体" w:hAnsi="宋体" w:eastAsia="宋体"/>
        </w:rPr>
        <w:t>10．谈判响应文件的组成</w:t>
      </w:r>
      <w:bookmarkEnd w:id="23"/>
      <w:bookmarkEnd w:id="24"/>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10.l 谈判响应文件应包括以下部分（目录及有关格式按谈判采购文件第四章“谈判响应文件格式”要求）：</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10.1.l谈判函、谈判报价及项目相关文件</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 xml:space="preserve">10.1.2 谈判供应商资格证明文件 </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10.2谈判供应商未按谈判采购文件的要求提供资料，或未对谈判采购文件做出实质性响应，将导致谈判响应文件被视为无效。</w:t>
      </w:r>
    </w:p>
    <w:p>
      <w:pPr>
        <w:pStyle w:val="3"/>
        <w:rPr>
          <w:rFonts w:ascii="宋体" w:hAnsi="宋体" w:eastAsia="宋体"/>
        </w:rPr>
      </w:pPr>
      <w:bookmarkStart w:id="25" w:name="_Toc321385709"/>
      <w:bookmarkStart w:id="26" w:name="_Toc8684"/>
      <w:r>
        <w:rPr>
          <w:rFonts w:hint="eastAsia" w:ascii="宋体" w:hAnsi="宋体" w:eastAsia="宋体"/>
        </w:rPr>
        <w:t>11．谈判报价</w:t>
      </w:r>
      <w:bookmarkEnd w:id="25"/>
      <w:bookmarkEnd w:id="26"/>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11.1 本次采购采用总承包方式，因此谈判供应商的报价应包括全部货物、工程和服务的价格及相关税费，运输到指定地点的装运费用、安装调试、培训、售后服务等其他有关的所有费用。</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11.2 采购人不接受备选的谈判方案或有选择的报价。</w:t>
      </w:r>
    </w:p>
    <w:p>
      <w:pPr>
        <w:pStyle w:val="3"/>
        <w:rPr>
          <w:rFonts w:ascii="宋体" w:hAnsi="宋体" w:eastAsia="宋体"/>
        </w:rPr>
      </w:pPr>
      <w:bookmarkStart w:id="27" w:name="_Toc321385710"/>
      <w:bookmarkStart w:id="28" w:name="_Toc21185"/>
      <w:r>
        <w:rPr>
          <w:rFonts w:hint="eastAsia" w:ascii="宋体" w:hAnsi="宋体" w:eastAsia="宋体"/>
        </w:rPr>
        <w:t>12 .谈判报价的货币</w:t>
      </w:r>
      <w:bookmarkEnd w:id="27"/>
      <w:bookmarkEnd w:id="28"/>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本次谈判采购的报价均须以人民币表示。谈判采购文件另有规定的，从其规定。</w:t>
      </w:r>
    </w:p>
    <w:p>
      <w:pPr>
        <w:pStyle w:val="3"/>
        <w:rPr>
          <w:rFonts w:ascii="宋体" w:hAnsi="宋体" w:eastAsia="宋体"/>
        </w:rPr>
      </w:pPr>
      <w:bookmarkStart w:id="29" w:name="_Toc321385711"/>
      <w:bookmarkStart w:id="30" w:name="_Toc16005"/>
      <w:r>
        <w:rPr>
          <w:rFonts w:hint="eastAsia" w:ascii="宋体" w:hAnsi="宋体" w:eastAsia="宋体"/>
        </w:rPr>
        <w:t>13 .竞争性谈判保证金</w:t>
      </w:r>
      <w:bookmarkEnd w:id="29"/>
      <w:bookmarkEnd w:id="30"/>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13.1 竞争性谈判保证金是参加本项目谈判的必要条件，金额按谈判采购文件前附表的要求执行。</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13.2 竞争性谈判保证金必须在谈判响应文件递交截止时间前交纳。</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13.3 保证金的交纳形式为有效银行转账支票、银行汇票等（采购人不接受现金或其他形式的保证金）。</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13.4 若谈判供应商不按第 13.1、13.2和13.3条的规定缴纳竞争性谈判保证金，其谈判响应文件将被拒绝接受。</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13.5 竞争性谈判保证金的退还</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13.5.l 成交候选人的竞争性谈判保证金在其与采购人签订合同后根据</w:t>
      </w:r>
      <w:r>
        <w:rPr>
          <w:rFonts w:ascii="宋体" w:hAnsi="宋体"/>
          <w:kern w:val="0"/>
          <w:sz w:val="24"/>
          <w:szCs w:val="28"/>
        </w:rPr>
        <w:t>采购人的相关财务规定向采购人申请无息退还竞争性谈判保证金</w:t>
      </w:r>
      <w:r>
        <w:rPr>
          <w:rFonts w:hint="eastAsia" w:ascii="宋体" w:hAnsi="宋体"/>
          <w:kern w:val="0"/>
          <w:sz w:val="24"/>
          <w:szCs w:val="28"/>
        </w:rPr>
        <w:t>。</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13.5.2</w:t>
      </w:r>
      <w:r>
        <w:rPr>
          <w:rFonts w:hint="eastAsia" w:hAnsi="宋体"/>
          <w:sz w:val="24"/>
          <w:szCs w:val="28"/>
        </w:rPr>
        <w:t>非成交</w:t>
      </w:r>
      <w:r>
        <w:rPr>
          <w:rFonts w:hint="eastAsia" w:ascii="宋体" w:hAnsi="宋体"/>
          <w:kern w:val="0"/>
          <w:sz w:val="24"/>
          <w:szCs w:val="28"/>
        </w:rPr>
        <w:t>候选人</w:t>
      </w:r>
      <w:r>
        <w:rPr>
          <w:rFonts w:hint="eastAsia" w:hAnsi="宋体"/>
          <w:sz w:val="24"/>
          <w:szCs w:val="28"/>
        </w:rPr>
        <w:t>供应商在采购人发出成交通知书后根据采购人的相关财务规定向采购人申请无息退还竞争性谈判保证金。</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13.6 发生下列情况之一，竞争性谈判保证金将不予退还：</w:t>
      </w:r>
    </w:p>
    <w:p>
      <w:pPr>
        <w:spacing w:line="360" w:lineRule="auto"/>
        <w:ind w:firstLine="480"/>
        <w:rPr>
          <w:rFonts w:hAnsi="宋体"/>
          <w:sz w:val="24"/>
          <w:szCs w:val="28"/>
        </w:rPr>
      </w:pPr>
      <w:r>
        <w:rPr>
          <w:rFonts w:hint="eastAsia" w:hAnsi="宋体"/>
          <w:sz w:val="24"/>
          <w:szCs w:val="28"/>
        </w:rPr>
        <w:t>（1）谈判供应商在竞争性谈判有效期内放弃或撤回谈判响应文件；</w:t>
      </w:r>
    </w:p>
    <w:p>
      <w:pPr>
        <w:spacing w:line="360" w:lineRule="auto"/>
        <w:ind w:firstLine="480"/>
        <w:rPr>
          <w:rFonts w:hAnsi="宋体"/>
          <w:sz w:val="24"/>
          <w:szCs w:val="28"/>
        </w:rPr>
      </w:pPr>
      <w:r>
        <w:rPr>
          <w:rFonts w:hint="eastAsia" w:hAnsi="宋体"/>
          <w:sz w:val="24"/>
          <w:szCs w:val="28"/>
        </w:rPr>
        <w:t>（2）成交候选人供应商不按规定签订合同；</w:t>
      </w:r>
    </w:p>
    <w:p>
      <w:pPr>
        <w:spacing w:line="360" w:lineRule="auto"/>
        <w:ind w:firstLine="480"/>
        <w:rPr>
          <w:rFonts w:hAnsi="宋体"/>
          <w:sz w:val="24"/>
          <w:szCs w:val="28"/>
        </w:rPr>
      </w:pPr>
      <w:r>
        <w:rPr>
          <w:rFonts w:hint="eastAsia" w:hAnsi="宋体"/>
          <w:sz w:val="24"/>
          <w:szCs w:val="28"/>
        </w:rPr>
        <w:t>（3）谈判供应商提供虚假材料谋取中标、成交的；</w:t>
      </w:r>
    </w:p>
    <w:p>
      <w:pPr>
        <w:spacing w:line="360" w:lineRule="auto"/>
        <w:ind w:firstLine="480"/>
        <w:rPr>
          <w:rFonts w:hAnsi="宋体"/>
          <w:sz w:val="24"/>
          <w:szCs w:val="28"/>
        </w:rPr>
      </w:pPr>
      <w:r>
        <w:rPr>
          <w:rFonts w:hint="eastAsia" w:hAnsi="宋体"/>
          <w:sz w:val="24"/>
          <w:szCs w:val="28"/>
        </w:rPr>
        <w:t>（4）采取不正当手段诋毁、排挤其他谈判供应商的；</w:t>
      </w:r>
    </w:p>
    <w:p>
      <w:pPr>
        <w:spacing w:line="360" w:lineRule="auto"/>
        <w:ind w:firstLine="480"/>
        <w:rPr>
          <w:rFonts w:hAnsi="宋体"/>
          <w:sz w:val="24"/>
          <w:szCs w:val="28"/>
        </w:rPr>
      </w:pPr>
      <w:r>
        <w:rPr>
          <w:rFonts w:hint="eastAsia" w:hAnsi="宋体"/>
          <w:sz w:val="24"/>
          <w:szCs w:val="28"/>
        </w:rPr>
        <w:t>（5）与其他谈判供应商恶意串通的；</w:t>
      </w:r>
    </w:p>
    <w:p>
      <w:pPr>
        <w:pStyle w:val="33"/>
        <w:spacing w:line="360" w:lineRule="auto"/>
        <w:ind w:left="0" w:firstLine="480" w:firstLineChars="200"/>
        <w:rPr>
          <w:rFonts w:ascii="宋体" w:hAnsi="宋体"/>
          <w:kern w:val="0"/>
          <w:sz w:val="24"/>
          <w:szCs w:val="28"/>
        </w:rPr>
      </w:pPr>
      <w:r>
        <w:rPr>
          <w:rFonts w:hint="eastAsia" w:hAnsi="宋体"/>
          <w:sz w:val="24"/>
          <w:szCs w:val="28"/>
        </w:rPr>
        <w:t>（6）向采购人相关人员行贿或者提供其他不正当利益的。</w:t>
      </w:r>
    </w:p>
    <w:p>
      <w:pPr>
        <w:pStyle w:val="3"/>
        <w:rPr>
          <w:rFonts w:ascii="宋体" w:hAnsi="宋体" w:eastAsia="宋体"/>
        </w:rPr>
      </w:pPr>
      <w:bookmarkStart w:id="31" w:name="_Toc321385712"/>
      <w:bookmarkStart w:id="32" w:name="_Toc9563"/>
      <w:r>
        <w:rPr>
          <w:rFonts w:hint="eastAsia" w:ascii="宋体" w:hAnsi="宋体" w:eastAsia="宋体"/>
        </w:rPr>
        <w:t>14．竞争性谈判有效期</w:t>
      </w:r>
      <w:bookmarkEnd w:id="31"/>
      <w:bookmarkEnd w:id="32"/>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14.l 竞争性谈判有效期为从谈判响应文件递交截止之日起计算的九十天，有效期短于此规定的谈判响应文件将被视为无效。</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14.2 在特殊情况下，采购人可于竞争性谈判有效期满之前，征得谈判供应商同意延长竞争性谈判有效期，要求与答复均应以书面形式进行。谈判供应商可以拒绝接受这一要求而放弃竞争性谈判，竞争性谈判保证金将尽快无息退还。同意这一要求的谈判供应商，无需也不允许修改其谈判响应文件，但须相应延长竞争性谈判保证金的有效期。受竞争性谈判有效期制约的所有权利和义务均应延长至新的有效期。</w:t>
      </w:r>
    </w:p>
    <w:p>
      <w:pPr>
        <w:pStyle w:val="3"/>
        <w:rPr>
          <w:rFonts w:ascii="宋体" w:hAnsi="宋体" w:eastAsia="宋体"/>
        </w:rPr>
      </w:pPr>
      <w:bookmarkStart w:id="33" w:name="_Toc321385713"/>
      <w:bookmarkStart w:id="34" w:name="_Toc17314"/>
      <w:r>
        <w:rPr>
          <w:rFonts w:hint="eastAsia" w:ascii="宋体" w:hAnsi="宋体" w:eastAsia="宋体"/>
        </w:rPr>
        <w:t>15．谈判响应文件的签署及形式</w:t>
      </w:r>
      <w:bookmarkEnd w:id="33"/>
      <w:bookmarkEnd w:id="34"/>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15.l 谈判供应商按谈判采购文件第四章要求制作谈判响应文件，每份谈判响应文件均须在封面上清楚标明“正本”或“副本”字样。“正本”和“副本”之间如有差异，以正本为准。</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15.2 谈判响应文件正本中，除谈判采购文件第四章规定的可提交复印件外，其他文件均须提交原件，文字材料需打印或用不褪色墨水书写。谈判响应文件的正本须经法人代表或授权代表签署并加盖谈判供应商公章。本谈判采购文件所表述（指定）的公章是指法人公章，不包括专用章。</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15.3 谈判响应文件如有错误必须修改时，修改处须由法人代表或其授权代表签署或加盖公章。</w:t>
      </w:r>
    </w:p>
    <w:p>
      <w:pPr>
        <w:pStyle w:val="3"/>
        <w:jc w:val="center"/>
        <w:rPr>
          <w:rFonts w:ascii="宋体" w:hAnsi="宋体" w:eastAsia="宋体"/>
        </w:rPr>
      </w:pPr>
      <w:bookmarkStart w:id="35" w:name="_Toc321385714"/>
      <w:bookmarkStart w:id="36" w:name="_Toc15590"/>
      <w:r>
        <w:rPr>
          <w:rFonts w:hint="eastAsia" w:ascii="宋体" w:hAnsi="宋体" w:eastAsia="宋体"/>
        </w:rPr>
        <w:t>四  谈判响应文件的递交</w:t>
      </w:r>
      <w:bookmarkEnd w:id="35"/>
      <w:bookmarkEnd w:id="36"/>
    </w:p>
    <w:p>
      <w:pPr>
        <w:pStyle w:val="3"/>
        <w:rPr>
          <w:rFonts w:ascii="宋体" w:hAnsi="宋体" w:eastAsia="宋体"/>
        </w:rPr>
      </w:pPr>
      <w:bookmarkStart w:id="37" w:name="_Toc321385715"/>
      <w:bookmarkStart w:id="38" w:name="_Toc12165"/>
      <w:r>
        <w:rPr>
          <w:rFonts w:hint="eastAsia" w:ascii="宋体" w:hAnsi="宋体" w:eastAsia="宋体"/>
        </w:rPr>
        <w:t>16．谈判响应文件的密封及标记</w:t>
      </w:r>
      <w:bookmarkEnd w:id="37"/>
      <w:bookmarkEnd w:id="38"/>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16.l 谈判供应商应将谈判响应文件正本和所有副本分别密封在两个谈判专用袋（箱）中（正本一包，副本一包），并在谈判专用袋（箱）上标明“正本”、“副本”字样，封口处应加盖骑缝章或授权代表签字。</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16.2 谈判专用袋（箱）上须注明：</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（l）采购编号及项目名称；</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（2）分包号（如有）；</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（3）谈判供应商的名称、地址、联系人、电话和传真。</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16.3 谈判响应文件未按第 16．l和 16．2条规定书写标记和密封者，采购人不对谈判响应文件被错放或先期启封负责。</w:t>
      </w:r>
    </w:p>
    <w:p>
      <w:pPr>
        <w:pStyle w:val="3"/>
        <w:rPr>
          <w:rFonts w:ascii="宋体" w:hAnsi="宋体" w:eastAsia="宋体"/>
        </w:rPr>
      </w:pPr>
      <w:bookmarkStart w:id="39" w:name="_Toc321385716"/>
      <w:bookmarkStart w:id="40" w:name="_Toc27732"/>
      <w:r>
        <w:rPr>
          <w:rFonts w:hint="eastAsia" w:ascii="宋体" w:hAnsi="宋体" w:eastAsia="宋体"/>
        </w:rPr>
        <w:t>17．竞争性谈判响应文件递交截止时间</w:t>
      </w:r>
      <w:bookmarkEnd w:id="39"/>
      <w:bookmarkEnd w:id="40"/>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17.l 谈判供应商须在谈判采购文件前附表规定的谈判响应文件递交截止时间前将谈判响应文件送达谈判采购文件中指定的地点。</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17.2 若采购人按8.5条规定推迟了竞争性谈判响应文件递交截止时间，采购人和谈判供应商受谈判响应文件递交截止时间制约的所有权利和义务均应以新的截止时间为准。</w:t>
      </w:r>
    </w:p>
    <w:p>
      <w:pPr>
        <w:pStyle w:val="3"/>
        <w:rPr>
          <w:rFonts w:ascii="宋体" w:hAnsi="宋体" w:eastAsia="宋体"/>
        </w:rPr>
      </w:pPr>
      <w:bookmarkStart w:id="41" w:name="_Toc321385717"/>
      <w:bookmarkStart w:id="42" w:name="_Toc10253"/>
      <w:r>
        <w:rPr>
          <w:rFonts w:hint="eastAsia" w:ascii="宋体" w:hAnsi="宋体" w:eastAsia="宋体"/>
        </w:rPr>
        <w:t>18．迟交的谈判响应文件</w:t>
      </w:r>
      <w:bookmarkEnd w:id="41"/>
      <w:bookmarkEnd w:id="42"/>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在谈判响应文件递交截止时间后递交的谈判响应文件，采购人将拒绝接受。</w:t>
      </w:r>
    </w:p>
    <w:p>
      <w:pPr>
        <w:pStyle w:val="3"/>
        <w:rPr>
          <w:rFonts w:ascii="宋体" w:hAnsi="宋体" w:eastAsia="宋体"/>
        </w:rPr>
      </w:pPr>
      <w:bookmarkStart w:id="43" w:name="_Toc321385718"/>
      <w:bookmarkStart w:id="44" w:name="_Toc19939"/>
      <w:r>
        <w:rPr>
          <w:rFonts w:hint="eastAsia" w:ascii="宋体" w:hAnsi="宋体" w:eastAsia="宋体"/>
        </w:rPr>
        <w:t>19．谈判响应文件的修改和撤回</w:t>
      </w:r>
      <w:bookmarkEnd w:id="43"/>
      <w:bookmarkEnd w:id="44"/>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19.l 谈判供应商在提交谈判响应文件后可对其进行修改或撤回，但必须使采购人在谈判响应文件递交截止时间前收到该修改的书面内容或撤回的书面通知，该书面文件须由法人代表或其授权代表签署。</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19.2 谈判响应文件的修改文件应按第 15条规定签署，正、副本分别密封，并按第 16.2条规定标记，还须注明“修改谈判响应文件”和“竞争性谈判响应文件递交截止时间前不得启封”字样。修改文件须在竞争性谈判响应文件递交截止时间前送达采购人指定的地点。</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19.3 谈判供应商不得在竞争性谈判响应文件递交截止时间起至竞争性谈判有效期满前撤回谈判响应文件，否则竞争性谈判保证金将被没收。该谈判供应商的谈判响应文件不予退还。</w:t>
      </w:r>
    </w:p>
    <w:p>
      <w:pPr>
        <w:pStyle w:val="3"/>
        <w:jc w:val="center"/>
        <w:rPr>
          <w:rFonts w:ascii="宋体" w:hAnsi="宋体" w:eastAsia="宋体"/>
        </w:rPr>
      </w:pPr>
      <w:bookmarkStart w:id="45" w:name="_Toc321385719"/>
      <w:bookmarkStart w:id="46" w:name="_Toc784"/>
      <w:r>
        <w:rPr>
          <w:rFonts w:hint="eastAsia" w:ascii="宋体" w:hAnsi="宋体" w:eastAsia="宋体"/>
        </w:rPr>
        <w:t>五  竞争性谈判及报价</w:t>
      </w:r>
      <w:bookmarkEnd w:id="45"/>
      <w:bookmarkEnd w:id="46"/>
    </w:p>
    <w:p>
      <w:pPr>
        <w:pStyle w:val="3"/>
        <w:rPr>
          <w:rFonts w:ascii="宋体" w:hAnsi="宋体" w:eastAsia="宋体"/>
        </w:rPr>
      </w:pPr>
      <w:bookmarkStart w:id="47" w:name="_Toc321385720"/>
      <w:bookmarkStart w:id="48" w:name="_Toc6766"/>
      <w:r>
        <w:rPr>
          <w:rFonts w:hint="eastAsia" w:ascii="宋体" w:hAnsi="宋体" w:eastAsia="宋体"/>
        </w:rPr>
        <w:t>20．竞争性谈判报价</w:t>
      </w:r>
      <w:bookmarkEnd w:id="47"/>
      <w:bookmarkEnd w:id="48"/>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20.l 采购人按谈判采购文件前附表规定的时间和地点组织竞争性谈判及报价。</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20.2 谈判供应商应委派授权代表参加竞争性谈判及报价，参加谈判的代表须持本人身份证件及法人授权委托书原件办理交纳保证金、签名报到和递交谈判响应文件等事宜。未派授权代表或不能证明其授权代表身份的，采购人对谈判响应文件的处理不承担责任。若法定代表人参加谈判活动，则无须提供法人授权委托书，但须持本人身份证件及营业执照复印件办理有关手续。</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20.3 谈判供应商必须在谈判响应文件递交截止时间前办理完毕交纳保证金、签名报到、递交谈判响应文件以及谈判采购文件所规定的应在谈判响应文件递交截止时间前完成的事项（如样品递交等）。</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20.4 竞争性谈判及报价时，采购人将组织谈判供应商查验谈判响应文件密封情况，确认无误后拆封唱标，公布每份谈判响应文件中“报价一览表”的内容，以及采购人认为合适的其他内容并记录。</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20.5 若谈判响应文件未密封，或未提交竞争性谈判保证金（包括保证金不符合第13条规定），采购人将拒绝接受该谈判响应文件。</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20.6 按照第19条规定，同意撤回的谈判响应文件将不予拆封。</w:t>
      </w:r>
    </w:p>
    <w:p>
      <w:pPr>
        <w:pStyle w:val="33"/>
        <w:spacing w:line="360" w:lineRule="auto"/>
        <w:ind w:left="0" w:firstLine="480" w:firstLineChars="200"/>
        <w:rPr>
          <w:rFonts w:ascii="宋体" w:hAnsi="宋体"/>
          <w:kern w:val="0"/>
          <w:sz w:val="24"/>
          <w:szCs w:val="28"/>
        </w:rPr>
      </w:pPr>
    </w:p>
    <w:p>
      <w:pPr>
        <w:pStyle w:val="3"/>
        <w:rPr>
          <w:rFonts w:ascii="宋体" w:hAnsi="宋体" w:eastAsia="宋体"/>
        </w:rPr>
      </w:pPr>
      <w:bookmarkStart w:id="49" w:name="_Toc321385722"/>
      <w:bookmarkStart w:id="50" w:name="_Toc28371"/>
      <w:r>
        <w:rPr>
          <w:rFonts w:hint="eastAsia" w:ascii="宋体" w:hAnsi="宋体" w:eastAsia="宋体"/>
        </w:rPr>
        <w:t>21．对谈判响应文件的资格性审查和符合性审查</w:t>
      </w:r>
      <w:bookmarkEnd w:id="49"/>
      <w:bookmarkEnd w:id="50"/>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21.l 资格性审查的内容包括：</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（1）资格证明</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（2）竞争性谈判保证金</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21.2 符合性审查的内容包括：</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（1）谈判响应文件的有效性(签署情况等)</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（2）谈判响应文件的完整性(正本和副本数量、内容等)</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（3）对谈判采购文件的响应程度（是否存在重大负偏离等）</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以上资格性审查和符合性审查的内容只要有一条不满足，则谈判响应文件无效。</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21.3 所谓偏离是指谈判响应文件的内容高于或低于谈判采购文件的相关要求。所谓重大负偏离是指谈判响应文件对谈判采购文件的响应在范围、质量、数量和交货期限等方面明显不能满足要求。重大负偏离的认定须经谈判小组三分之二以上同意。</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判断谈判响应文件的响应与否只根据谈判响应文件本身，而不寻求外部证据。</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21.4 谈判小组在初审中，对算术错误的修正原则如下:</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21.4.l 谈判响应文件的大写金额和小写金额不一致的，以大写金额为准；</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21.4.2 总价金额与按单价汇总金额不一致的，以单价金额计算结果为准；</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21.4.3 单价金额小数点有明显错位的，以总价为准并修改单价；</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21.4.4 若谈判供应商不同意以上修正，谈判响应文件视为无效。</w:t>
      </w:r>
    </w:p>
    <w:p>
      <w:pPr>
        <w:pStyle w:val="3"/>
        <w:rPr>
          <w:rFonts w:ascii="宋体" w:hAnsi="宋体" w:eastAsia="宋体"/>
        </w:rPr>
      </w:pPr>
      <w:bookmarkStart w:id="51" w:name="_Toc321385723"/>
      <w:bookmarkStart w:id="52" w:name="_Toc9369"/>
      <w:r>
        <w:rPr>
          <w:rFonts w:hint="eastAsia" w:ascii="宋体" w:hAnsi="宋体" w:eastAsia="宋体"/>
        </w:rPr>
        <w:t>22. 具体谈判工作流程</w:t>
      </w:r>
      <w:bookmarkEnd w:id="51"/>
      <w:bookmarkEnd w:id="52"/>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22.1 谈判小组讨论、通过谈判工作流程和谈判要点。</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22.2 谈判小组评审软件演示并审阅谈判响应文件。</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22.3 围绕谈判要点，谈判小组全体成员集中与各个谈判供应商分别进行谈判。逐家谈判一次为一个轮次，谈判轮次由谈判小组视情况决定。</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22.4 谈判采购文件有实质性变动的，谈判小组将以书面形式通知所有参加谈判的谈判供应商。</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22.5 谈判结束后，谈判小组将要求所有“符合采购需求，质量和服务相等”的谈判供应商在规定时间内确定并提交最终报价,采购人将现场公开唱标。</w:t>
      </w:r>
      <w:r>
        <w:rPr>
          <w:rFonts w:ascii="宋体" w:hAnsi="宋体"/>
          <w:kern w:val="0"/>
          <w:sz w:val="24"/>
          <w:szCs w:val="28"/>
        </w:rPr>
        <w:t>如果采购需求无实质性变更，谈判供应商在最终报价时不能高于第一轮报价，否则该报价作废标处理</w:t>
      </w:r>
      <w:r>
        <w:rPr>
          <w:rFonts w:hint="eastAsia" w:ascii="宋体" w:hAnsi="宋体"/>
          <w:kern w:val="0"/>
          <w:sz w:val="24"/>
          <w:szCs w:val="28"/>
        </w:rPr>
        <w:t>。在规定时间内没有提交最终报价的谈判供应商，其谈判响应文件视为无效。</w:t>
      </w:r>
    </w:p>
    <w:p>
      <w:pPr>
        <w:pStyle w:val="3"/>
        <w:rPr>
          <w:rFonts w:ascii="宋体" w:hAnsi="宋体" w:eastAsia="宋体"/>
        </w:rPr>
      </w:pPr>
      <w:bookmarkStart w:id="53" w:name="_Toc321385724"/>
      <w:bookmarkStart w:id="54" w:name="_Toc8981"/>
      <w:r>
        <w:rPr>
          <w:rFonts w:hint="eastAsia" w:ascii="宋体" w:hAnsi="宋体" w:eastAsia="宋体"/>
        </w:rPr>
        <w:t>23．谈判响应文件的澄清</w:t>
      </w:r>
      <w:bookmarkEnd w:id="53"/>
      <w:bookmarkEnd w:id="54"/>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23．l 在谈判期间，谈判小组有权要求谈判供应商对其谈判响应文件含义不明确、同类问题表述不一致或者有明显文字和计算错误的内容进行澄清。谈判供应商应派授权代表和技术人员按谈判小组通知的时间和地点接受询标。</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23．2 谈判小组认为有必要，可要求谈判供应商对某些问题作出必要的澄清、说明和补正。谈判供应商的澄清、说明或者补正应当采用书面形式，由其授权的代表签字。谈判供应商的书面澄清材料作为谈判响应文件的补充。</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23.3 谈判供应商不按谈判小组规定的时间和地点作书面澄清，将视为放弃该权利。</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23.4 并非每个谈判供应商都将被询标。</w:t>
      </w:r>
    </w:p>
    <w:p>
      <w:pPr>
        <w:pStyle w:val="3"/>
        <w:rPr>
          <w:rFonts w:ascii="宋体" w:hAnsi="宋体" w:eastAsia="宋体"/>
        </w:rPr>
      </w:pPr>
      <w:bookmarkStart w:id="55" w:name="_Toc321385725"/>
      <w:bookmarkStart w:id="56" w:name="_Toc24107"/>
      <w:r>
        <w:rPr>
          <w:rFonts w:hint="eastAsia" w:ascii="宋体" w:hAnsi="宋体" w:eastAsia="宋体"/>
        </w:rPr>
        <w:t>24．确定成交供应商</w:t>
      </w:r>
      <w:bookmarkEnd w:id="55"/>
      <w:bookmarkEnd w:id="56"/>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24．l 谈判小组将对通过资格性审查和符合性审查的谈判响应文件进行评价和比较。</w:t>
      </w:r>
    </w:p>
    <w:p>
      <w:pPr>
        <w:tabs>
          <w:tab w:val="left" w:pos="0"/>
        </w:tabs>
        <w:spacing w:line="360" w:lineRule="auto"/>
        <w:ind w:right="17" w:firstLine="454" w:firstLineChars="189"/>
        <w:rPr>
          <w:rFonts w:hAnsi="宋体"/>
          <w:sz w:val="24"/>
          <w:szCs w:val="28"/>
        </w:rPr>
      </w:pPr>
      <w:r>
        <w:rPr>
          <w:rFonts w:hint="eastAsia" w:hAnsi="宋体"/>
          <w:sz w:val="24"/>
          <w:szCs w:val="28"/>
        </w:rPr>
        <w:t>24．2 谈判小组遵循客观公正原则、有效竞争原则、对谈判供应商同等待遇或非歧视原则和保密原则，对谈判供应商资格及谈判响应文件进行评审，与谈判供应商进行谈判后，组织符合采购需求、质量和服务等的谈判供应商进行最终报价，并确定提出最低报价的谈判供应商为成交候选人。</w:t>
      </w:r>
    </w:p>
    <w:p>
      <w:pPr>
        <w:pStyle w:val="3"/>
        <w:rPr>
          <w:rFonts w:ascii="宋体" w:hAnsi="宋体" w:eastAsia="宋体"/>
        </w:rPr>
      </w:pPr>
      <w:bookmarkStart w:id="57" w:name="_Toc321385726"/>
      <w:bookmarkStart w:id="58" w:name="_Toc1913"/>
      <w:r>
        <w:rPr>
          <w:rFonts w:hint="eastAsia" w:ascii="宋体" w:hAnsi="宋体" w:eastAsia="宋体"/>
        </w:rPr>
        <w:t>25．谈判过程保密</w:t>
      </w:r>
      <w:bookmarkEnd w:id="57"/>
      <w:bookmarkEnd w:id="58"/>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25.l 在宣布成交结果之前，凡属于审查、澄清、评价、比较谈判响应文件等有关信息，相关当事人均不得泄露给任何谈判供应商或与谈判工作无关的人员。</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25.2 谈判供应商不得探听上述信息，不得以任何行为影响谈判过程，否则其谈判响应文件将被作为无效谈判响应文件。</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25.3 在谈判期间，采购人将有专门人员与谈判供应商进行联络。</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25. 4 采购人和谈判小组不向未成交的谈判供应商解释未成交原因，也不对谈判过程中的细节问题进行公布。</w:t>
      </w:r>
    </w:p>
    <w:p>
      <w:pPr>
        <w:pStyle w:val="3"/>
        <w:rPr>
          <w:rFonts w:ascii="宋体" w:hAnsi="宋体" w:eastAsia="宋体"/>
        </w:rPr>
      </w:pPr>
      <w:bookmarkStart w:id="59" w:name="_Toc321385727"/>
      <w:bookmarkStart w:id="60" w:name="_Toc16712"/>
      <w:r>
        <w:rPr>
          <w:rFonts w:hint="eastAsia" w:ascii="宋体" w:hAnsi="宋体" w:eastAsia="宋体"/>
        </w:rPr>
        <w:t>26．谈判供应商不足三家的处理</w:t>
      </w:r>
      <w:bookmarkEnd w:id="59"/>
      <w:bookmarkEnd w:id="60"/>
    </w:p>
    <w:p>
      <w:pPr>
        <w:spacing w:line="360" w:lineRule="auto"/>
        <w:ind w:firstLine="480" w:firstLineChars="200"/>
        <w:rPr>
          <w:rFonts w:hAnsi="宋体"/>
          <w:sz w:val="24"/>
          <w:szCs w:val="28"/>
        </w:rPr>
      </w:pPr>
      <w:r>
        <w:rPr>
          <w:rFonts w:hint="eastAsia" w:hAnsi="宋体"/>
          <w:sz w:val="24"/>
          <w:szCs w:val="28"/>
        </w:rPr>
        <w:t>26.1至谈判响应文件递交截止时间，谈判供应商不足3家以及在谈判期间出现符合专业条件的谈判供应商或者对采购文件做出实质性响应的谈判供应商不足3家的，采购项目流标。</w:t>
      </w:r>
    </w:p>
    <w:p>
      <w:pPr>
        <w:pStyle w:val="3"/>
        <w:jc w:val="center"/>
        <w:rPr>
          <w:rFonts w:ascii="宋体" w:hAnsi="宋体" w:eastAsia="宋体"/>
        </w:rPr>
      </w:pPr>
      <w:bookmarkStart w:id="61" w:name="_Toc321385728"/>
      <w:bookmarkStart w:id="62" w:name="_Toc25188"/>
      <w:r>
        <w:rPr>
          <w:rFonts w:hint="eastAsia" w:ascii="宋体" w:hAnsi="宋体" w:eastAsia="宋体"/>
        </w:rPr>
        <w:t>六  确定成交供应商及签约</w:t>
      </w:r>
      <w:bookmarkEnd w:id="61"/>
      <w:bookmarkEnd w:id="62"/>
    </w:p>
    <w:p>
      <w:pPr>
        <w:pStyle w:val="3"/>
        <w:rPr>
          <w:rFonts w:ascii="宋体" w:hAnsi="宋体" w:eastAsia="宋体"/>
        </w:rPr>
      </w:pPr>
      <w:bookmarkStart w:id="63" w:name="_Toc321385729"/>
      <w:bookmarkStart w:id="64" w:name="_Toc1130"/>
      <w:r>
        <w:rPr>
          <w:rFonts w:hint="eastAsia" w:ascii="宋体" w:hAnsi="宋体" w:eastAsia="宋体"/>
        </w:rPr>
        <w:t>27．确定成交供应商的原则</w:t>
      </w:r>
      <w:bookmarkEnd w:id="63"/>
      <w:bookmarkEnd w:id="64"/>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27.1 谈判小组将严格按照谈判采购文件的要求和条件进行比较,根据谈判采购文件中公布的评审办法推荐出成交候选人。</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28.2 谈判供应商出现下列情况之一的，将被取消成交候选人资格：</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（1）提供虚假材料谋取中标、成交的；</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（2）采取不正当手段诋毁、排挤其他谈判供应商的；</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（3）与采购人、其他谈判供应商恶意串通的；</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（4）向采购人行贿或者提供其他不正当利益的；</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（5）不符合法律、法规的规定。</w:t>
      </w:r>
    </w:p>
    <w:p>
      <w:pPr>
        <w:pStyle w:val="3"/>
        <w:rPr>
          <w:rFonts w:ascii="宋体" w:hAnsi="宋体" w:eastAsia="宋体"/>
        </w:rPr>
      </w:pPr>
      <w:bookmarkStart w:id="65" w:name="_Toc321385730"/>
      <w:bookmarkStart w:id="66" w:name="_Toc31609"/>
      <w:r>
        <w:rPr>
          <w:rFonts w:hint="eastAsia" w:ascii="宋体" w:hAnsi="宋体" w:eastAsia="宋体"/>
        </w:rPr>
        <w:t>28. 质疑处理</w:t>
      </w:r>
      <w:bookmarkEnd w:id="65"/>
      <w:bookmarkEnd w:id="66"/>
    </w:p>
    <w:p>
      <w:pPr>
        <w:spacing w:line="360" w:lineRule="auto"/>
        <w:ind w:firstLine="480" w:firstLineChars="200"/>
        <w:rPr>
          <w:rFonts w:hAnsi="宋体"/>
          <w:sz w:val="24"/>
          <w:szCs w:val="28"/>
        </w:rPr>
      </w:pPr>
      <w:r>
        <w:rPr>
          <w:rFonts w:hint="eastAsia" w:hAnsi="宋体"/>
          <w:sz w:val="24"/>
          <w:szCs w:val="28"/>
        </w:rPr>
        <w:t>谈判供应商认为谈判采购文件、采购过程和成交结果使自己的权益受到损害的，可以在知道或者应知其权益受到损害之日起五个工作日内，以书面形式向采购人提出质疑。非书面形式、七个工作日之外以及匿名的质疑将不予受理。</w:t>
      </w:r>
    </w:p>
    <w:p>
      <w:pPr>
        <w:pStyle w:val="3"/>
        <w:rPr>
          <w:rFonts w:ascii="宋体" w:hAnsi="宋体" w:eastAsia="宋体"/>
        </w:rPr>
      </w:pPr>
      <w:bookmarkStart w:id="67" w:name="_Toc321385732"/>
      <w:bookmarkStart w:id="68" w:name="_Toc30547"/>
      <w:r>
        <w:rPr>
          <w:rFonts w:hint="eastAsia" w:ascii="宋体" w:hAnsi="宋体" w:eastAsia="宋体"/>
        </w:rPr>
        <w:t>29．签订合同</w:t>
      </w:r>
      <w:bookmarkEnd w:id="67"/>
      <w:bookmarkEnd w:id="68"/>
    </w:p>
    <w:p>
      <w:pPr>
        <w:spacing w:line="360" w:lineRule="auto"/>
        <w:ind w:firstLine="480" w:firstLineChars="200"/>
        <w:rPr>
          <w:rFonts w:hAnsi="宋体"/>
          <w:sz w:val="24"/>
          <w:szCs w:val="28"/>
        </w:rPr>
      </w:pPr>
      <w:r>
        <w:rPr>
          <w:rFonts w:hint="eastAsia" w:hAnsi="宋体"/>
          <w:sz w:val="24"/>
          <w:szCs w:val="28"/>
        </w:rPr>
        <w:t>29．l 成交供应商应按成交通知书规定的时间、地点与采购人签订成交合同,否则竞争性谈判保证金将不予退还，给采购人造成损失的，成交供应商还应承担赔偿责任。</w:t>
      </w:r>
    </w:p>
    <w:p>
      <w:pPr>
        <w:spacing w:line="360" w:lineRule="auto"/>
        <w:ind w:firstLine="480" w:firstLineChars="200"/>
        <w:rPr>
          <w:rFonts w:hAnsi="宋体"/>
          <w:sz w:val="24"/>
          <w:szCs w:val="28"/>
        </w:rPr>
      </w:pPr>
      <w:r>
        <w:rPr>
          <w:rFonts w:hint="eastAsia" w:hAnsi="宋体"/>
          <w:sz w:val="24"/>
          <w:szCs w:val="28"/>
        </w:rPr>
        <w:t>29.2 谈判采购文件、成交供应商的谈判响应文件及谈判过程中有关澄清文件、成交通知书均应作为合同附件。</w:t>
      </w:r>
    </w:p>
    <w:p>
      <w:pPr>
        <w:spacing w:line="360" w:lineRule="auto"/>
        <w:ind w:firstLine="480" w:firstLineChars="200"/>
        <w:rPr>
          <w:rFonts w:hAnsi="宋体"/>
          <w:sz w:val="24"/>
          <w:szCs w:val="28"/>
        </w:rPr>
      </w:pPr>
      <w:r>
        <w:rPr>
          <w:rFonts w:hint="eastAsia" w:hAnsi="宋体"/>
          <w:sz w:val="24"/>
          <w:szCs w:val="28"/>
        </w:rPr>
        <w:t>29.3 签订合同后，成交供应商不得将货物、工程及其他相关服务进行转包。未经采购人同意，成交供应商不得采用分包的形式履行合同。否则采购人有权终止合同，成交供应商的履约保证金将不予退还。转包或分包造成采购人损失的， 成交供应商还应承担相应赔偿责任。</w:t>
      </w:r>
    </w:p>
    <w:p>
      <w:pPr>
        <w:pStyle w:val="2"/>
        <w:spacing w:line="360" w:lineRule="auto"/>
        <w:jc w:val="center"/>
        <w:rPr>
          <w:rFonts w:hAnsi="宋体"/>
        </w:rPr>
      </w:pPr>
      <w:bookmarkStart w:id="69" w:name="_Toc279410003"/>
      <w:r>
        <w:rPr>
          <w:rFonts w:hAnsi="宋体"/>
        </w:rPr>
        <w:br w:type="page"/>
      </w:r>
      <w:bookmarkStart w:id="70" w:name="_Toc14180"/>
      <w:r>
        <w:rPr>
          <w:rFonts w:hint="eastAsia" w:hAnsi="宋体"/>
        </w:rPr>
        <w:t xml:space="preserve">第二章  </w:t>
      </w:r>
      <w:bookmarkStart w:id="71" w:name="_Toc280190841"/>
      <w:bookmarkStart w:id="72" w:name="_Toc296526528"/>
      <w:r>
        <w:rPr>
          <w:rFonts w:hint="eastAsia" w:hAnsi="宋体"/>
        </w:rPr>
        <w:t>采购清单</w:t>
      </w:r>
      <w:bookmarkEnd w:id="70"/>
    </w:p>
    <w:bookmarkEnd w:id="71"/>
    <w:bookmarkEnd w:id="72"/>
    <w:p>
      <w:pPr>
        <w:pStyle w:val="4"/>
        <w:spacing w:line="240" w:lineRule="auto"/>
      </w:pPr>
      <w:bookmarkStart w:id="73" w:name="_Toc401819696"/>
      <w:bookmarkStart w:id="74" w:name="_Toc6212"/>
      <w:bookmarkStart w:id="75" w:name="_Toc401819700"/>
      <w:r>
        <w:rPr>
          <w:rFonts w:hint="eastAsia"/>
        </w:rPr>
        <w:t>一、</w:t>
      </w:r>
      <w:bookmarkEnd w:id="73"/>
      <w:r>
        <w:rPr>
          <w:rFonts w:hint="eastAsia"/>
        </w:rPr>
        <w:t>采购技术需求</w:t>
      </w:r>
      <w:bookmarkEnd w:id="74"/>
    </w:p>
    <w:p>
      <w:pPr>
        <w:pStyle w:val="3"/>
      </w:pPr>
      <w:bookmarkStart w:id="76" w:name="_Toc7829"/>
      <w:bookmarkStart w:id="77" w:name="_Toc401819699"/>
      <w:r>
        <w:rPr>
          <w:rFonts w:hint="eastAsia"/>
        </w:rPr>
        <w:t>分包2：公共预算编制-审议-执行-决算模拟软件</w:t>
      </w:r>
      <w:bookmarkEnd w:id="76"/>
    </w:p>
    <w:p>
      <w:pPr>
        <w:snapToGrid w:val="0"/>
        <w:spacing w:line="440" w:lineRule="exact"/>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（一）实验教学软件的业务功能</w:t>
      </w:r>
    </w:p>
    <w:p>
      <w:pPr>
        <w:snapToGrid w:val="0"/>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主要包括以下业务功能：</w:t>
      </w:r>
    </w:p>
    <w:p>
      <w:pPr>
        <w:snapToGrid w:val="0"/>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1、公共预算编制实务（软件操作）：科目设置、预算单位与资金来源、平衡校验设置；</w:t>
      </w:r>
    </w:p>
    <w:p>
      <w:pPr>
        <w:snapToGrid w:val="0"/>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2、公共预算执行：定期审查预算实施、年内预算修订、财政支付中心系统；</w:t>
      </w:r>
    </w:p>
    <w:p>
      <w:pPr>
        <w:snapToGrid w:val="0"/>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预算执行审计系统</w:t>
      </w:r>
      <w:r>
        <w:rPr>
          <w:rFonts w:hint="eastAsia" w:asciiTheme="minorEastAsia" w:hAnsiTheme="minorEastAsia" w:eastAsiaTheme="minorEastAsia"/>
          <w:sz w:val="24"/>
          <w:szCs w:val="24"/>
        </w:rPr>
        <w:t>；</w:t>
      </w:r>
    </w:p>
    <w:p>
      <w:pPr>
        <w:snapToGrid w:val="0"/>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4、国库集中支付</w:t>
      </w:r>
    </w:p>
    <w:p>
      <w:pPr>
        <w:snapToGrid w:val="0"/>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5、政府会计实务：核算账套建立、预算会计总账处理系统。</w:t>
      </w:r>
    </w:p>
    <w:p>
      <w:pPr>
        <w:snapToGrid w:val="0"/>
        <w:spacing w:line="440" w:lineRule="exact"/>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（二）实验教学软件的技术功能</w:t>
      </w:r>
    </w:p>
    <w:p>
      <w:pPr>
        <w:snapToGrid w:val="0"/>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1、要求服务器部署在学校指定的计算机实验室里。</w:t>
      </w:r>
    </w:p>
    <w:p>
      <w:pPr>
        <w:snapToGrid w:val="0"/>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2、老师管理席、学生席均必须是B/S结构。 以web（即网页）形式访问服务器。</w:t>
      </w:r>
    </w:p>
    <w:p>
      <w:pPr>
        <w:snapToGrid w:val="0"/>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3、软件共有管理员、教师、学生三大用户端口，各个端口相互联系，有机配合，构一个系统结合的整体，方便学生学习知识，教师传授知识，管理员定期维护和更新系统。</w:t>
      </w:r>
    </w:p>
    <w:p>
      <w:pPr>
        <w:snapToGrid w:val="0"/>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软件需要内置学生实验报告自动生成系统，此系统可以根据学校实验报告模板导出一份包含学生实验所有数据几实验得分及实验单证的word版本实验报告。报告完整且格式以学校的标准为准，可长期保存作为后续教学资料。</w:t>
      </w:r>
    </w:p>
    <w:p>
      <w:pPr>
        <w:snapToGrid w:val="0"/>
        <w:spacing w:line="440" w:lineRule="exact"/>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（三）实验教学软件的其他要求</w:t>
      </w:r>
    </w:p>
    <w:p>
      <w:pPr>
        <w:snapToGrid w:val="0"/>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1.提供软件、考核软件系统、实施与培训、课程教学大纲、课件PPT、教学习题、软件用户手册和其他已使用该软件的高校实验室的参观学习交流。</w:t>
      </w:r>
    </w:p>
    <w:p>
      <w:pPr>
        <w:snapToGrid w:val="0"/>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 软件免费维保期至少5年，硬件免费维保期至少3年。总费用包含：所以招投标设备的运费，安装实施费用，培训费；发票费用，产品介质费。</w:t>
      </w:r>
    </w:p>
    <w:p>
      <w:pPr>
        <w:pStyle w:val="3"/>
      </w:pPr>
      <w:bookmarkStart w:id="78" w:name="_Toc11331"/>
      <w:r>
        <w:rPr>
          <w:rFonts w:hint="eastAsia"/>
        </w:rPr>
        <w:t>分包4：计算机辅助调查系统</w:t>
      </w:r>
      <w:bookmarkEnd w:id="78"/>
    </w:p>
    <w:p>
      <w:pPr>
        <w:snapToGrid w:val="0"/>
        <w:spacing w:line="440" w:lineRule="exact"/>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（一）实验教学软件的业务功能</w:t>
      </w:r>
    </w:p>
    <w:p>
      <w:pPr>
        <w:snapToGrid w:val="0"/>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软件（使用授权100套）电话调查软件、平板面访软件、在线调查软件、神秘客评价管理软件、在线数据分析系统、调查数据网盘管理平台；配套硬件部分：服务器2台、电脑话务耳机100套。</w:t>
      </w:r>
    </w:p>
    <w:p>
      <w:pPr>
        <w:snapToGrid w:val="0"/>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1、项目管理功能</w:t>
      </w:r>
    </w:p>
    <w:p>
      <w:pPr>
        <w:snapToGrid w:val="0"/>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1.1）支持新建项目、参照已有项目、参照公用问卷模版、导入问卷文件和删除项目及回复已删除项目等功能</w:t>
      </w:r>
    </w:p>
    <w:p>
      <w:pPr>
        <w:snapToGrid w:val="0"/>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2、问卷管理功能：</w:t>
      </w:r>
    </w:p>
    <w:p>
      <w:pPr>
        <w:snapToGrid w:val="0"/>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2.1)问卷以*.xml方式导入导出和保存；</w:t>
      </w:r>
    </w:p>
    <w:p>
      <w:pPr>
        <w:snapToGrid w:val="0"/>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2.2）非编程式问卷编辑：满足问卷编辑非编程式编辑，要求问卷编辑员能够随时随地编辑问卷，并不用编程 ；</w:t>
      </w:r>
    </w:p>
    <w:p>
      <w:pPr>
        <w:snapToGrid w:val="0"/>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2.3 ) 问卷编辑题型：单选题，多选题，哑题、单选矩阵题，多选题矩阵题、问答题、文本框题、下拉题、视频题、图片题以及基本信息题等多种题型</w:t>
      </w:r>
    </w:p>
    <w:p>
      <w:pPr>
        <w:snapToGrid w:val="0"/>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2.4）在问卷编辑时可以对题型进行随机题组，问卷样式设置，指标登记、等多种功能</w:t>
      </w:r>
    </w:p>
    <w:p>
      <w:pPr>
        <w:snapToGrid w:val="0"/>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2.5）问卷发布功能，可以对问卷进行当前状态进行管理，有问卷编辑中，公开中，公开结束三种状态                                                        </w:t>
      </w:r>
    </w:p>
    <w:p>
      <w:pPr>
        <w:snapToGrid w:val="0"/>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3、人员监控功能：</w:t>
      </w:r>
    </w:p>
    <w:p>
      <w:pPr>
        <w:snapToGrid w:val="0"/>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3.1）</w:t>
      </w:r>
      <w:r>
        <w:rPr>
          <w:rFonts w:asciiTheme="minorEastAsia" w:hAnsiTheme="minorEastAsia" w:eastAsiaTheme="minorEastAsia"/>
          <w:sz w:val="24"/>
          <w:szCs w:val="24"/>
        </w:rPr>
        <w:t>访问员电话实时监控</w:t>
      </w:r>
      <w:r>
        <w:rPr>
          <w:rFonts w:hint="eastAsia" w:asciiTheme="minorEastAsia" w:hAnsiTheme="minorEastAsia" w:eastAsiaTheme="minorEastAsia"/>
          <w:sz w:val="24"/>
          <w:szCs w:val="24"/>
        </w:rPr>
        <w:t>：</w:t>
      </w:r>
      <w:r>
        <w:rPr>
          <w:rFonts w:asciiTheme="minorEastAsia" w:hAnsiTheme="minorEastAsia" w:eastAsiaTheme="minorEastAsia"/>
          <w:sz w:val="24"/>
          <w:szCs w:val="24"/>
        </w:rPr>
        <w:t>实时监控电话访问员的桌面，实时监听通话</w:t>
      </w:r>
    </w:p>
    <w:p>
      <w:pPr>
        <w:snapToGrid w:val="0"/>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3.2）</w:t>
      </w:r>
      <w:r>
        <w:rPr>
          <w:rFonts w:asciiTheme="minorEastAsia" w:hAnsiTheme="minorEastAsia" w:eastAsiaTheme="minorEastAsia"/>
          <w:sz w:val="24"/>
          <w:szCs w:val="24"/>
        </w:rPr>
        <w:t>访问员面访地图轨迹查询</w:t>
      </w:r>
      <w:r>
        <w:rPr>
          <w:rFonts w:hint="eastAsia" w:asciiTheme="minorEastAsia" w:hAnsiTheme="minorEastAsia" w:eastAsiaTheme="minorEastAsia"/>
          <w:sz w:val="24"/>
          <w:szCs w:val="24"/>
        </w:rPr>
        <w:t>：</w:t>
      </w:r>
      <w:r>
        <w:rPr>
          <w:rFonts w:asciiTheme="minorEastAsia" w:hAnsiTheme="minorEastAsia" w:eastAsiaTheme="minorEastAsia"/>
          <w:sz w:val="24"/>
          <w:szCs w:val="24"/>
        </w:rPr>
        <w:t>主要在面访项目中，对访问员进行时间的地图轨迹查询</w:t>
      </w:r>
    </w:p>
    <w:p>
      <w:pPr>
        <w:snapToGrid w:val="0"/>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3.3）</w:t>
      </w:r>
      <w:r>
        <w:rPr>
          <w:rFonts w:asciiTheme="minorEastAsia" w:hAnsiTheme="minorEastAsia" w:eastAsiaTheme="minorEastAsia"/>
          <w:sz w:val="24"/>
          <w:szCs w:val="24"/>
        </w:rPr>
        <w:t>访问员平板问卷回答监看</w:t>
      </w:r>
      <w:r>
        <w:rPr>
          <w:rFonts w:hint="eastAsia" w:asciiTheme="minorEastAsia" w:hAnsiTheme="minorEastAsia" w:eastAsiaTheme="minorEastAsia"/>
          <w:sz w:val="24"/>
          <w:szCs w:val="24"/>
        </w:rPr>
        <w:t>：</w:t>
      </w:r>
      <w:r>
        <w:rPr>
          <w:rFonts w:asciiTheme="minorEastAsia" w:hAnsiTheme="minorEastAsia" w:eastAsiaTheme="minorEastAsia"/>
          <w:sz w:val="24"/>
          <w:szCs w:val="24"/>
        </w:rPr>
        <w:t>主要在面访项目中，对Pad在线访问员回答问卷时监看</w:t>
      </w:r>
    </w:p>
    <w:p>
      <w:pPr>
        <w:snapToGrid w:val="0"/>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4、排班表管理：老师可以针对某个课程或者某个研究项目对学院进行排班管理；可以查询某个调查项目的排班情况；上传电子版排班表；</w:t>
      </w:r>
    </w:p>
    <w:p>
      <w:pPr>
        <w:snapToGrid w:val="0"/>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5、设置管理</w:t>
      </w:r>
    </w:p>
    <w:p>
      <w:pPr>
        <w:snapToGrid w:val="0"/>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5.1）用户权限管理：部门信息管理，用户权限管理：细致的权限管理，多方密码设置和权限设置；</w:t>
      </w:r>
    </w:p>
    <w:p>
      <w:pPr>
        <w:snapToGrid w:val="0"/>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5.2）受访者信息自定义：要求受访者信息能够根据项目的具体需要可以随时改变相应字段名称;并且要求不需要写程序；</w:t>
      </w:r>
    </w:p>
    <w:p>
      <w:pPr>
        <w:snapToGrid w:val="0"/>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6、学生访问管理：</w:t>
      </w:r>
    </w:p>
    <w:p>
      <w:pPr>
        <w:snapToGrid w:val="0"/>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6.1）学生在进行电话访问时，可以启用预拨按钮，省去学生进行“下一条”按钮的多次操作，提升工作效率；</w:t>
      </w:r>
    </w:p>
    <w:p>
      <w:pPr>
        <w:snapToGrid w:val="0"/>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6.2）学生可以看到自己访问总数量和访问成功数量；</w:t>
      </w:r>
    </w:p>
    <w:p>
      <w:pPr>
        <w:snapToGrid w:val="0"/>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7、调查/监控、审核功能</w:t>
      </w:r>
    </w:p>
    <w:p>
      <w:pPr>
        <w:snapToGrid w:val="0"/>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7.1）对访员访问进行监听；可对访员的操作进行监看；可自主决定监听任意访员的访问工作；</w:t>
      </w:r>
    </w:p>
    <w:p>
      <w:pPr>
        <w:snapToGrid w:val="0"/>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7.2）录音、调听设置和录音智能分类保存；</w:t>
      </w:r>
    </w:p>
    <w:p>
      <w:pPr>
        <w:snapToGrid w:val="0"/>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7.3）答卷审核子系统：便捷的审核方式答卷、录音完全绑定在同一问卷中，答卷可结合样本信息、访问员等信息查询审核；观看答卷可对照访问录音审核；可多机同时审核；与访问工作可同步进行； </w:t>
      </w:r>
    </w:p>
    <w:p>
      <w:pPr>
        <w:snapToGrid w:val="0"/>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8、统计分析系统：强大的统计功能，可进行访问员统计、确认员统计、部门组统计、场地统计、多项目同时统计等功能；</w:t>
      </w:r>
    </w:p>
    <w:p>
      <w:pPr>
        <w:snapToGrid w:val="0"/>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9：智能预拨号：智能预拨号、过滤空号、停机、无法接通功能；  </w:t>
      </w:r>
    </w:p>
    <w:p>
      <w:pPr>
        <w:snapToGrid w:val="0"/>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10：系统平台的集成性：要求CATI/CAWI（网络调查）/CAPI（移动面访）混合访问；访问过程中，可以灵活切换方式，同一份问卷，可以由CATI/CAWI/CAPI共同完成。 </w:t>
      </w:r>
    </w:p>
    <w:p>
      <w:pPr>
        <w:snapToGrid w:val="0"/>
        <w:spacing w:line="440" w:lineRule="exact"/>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（二）实验教学软件的技术功能</w:t>
      </w:r>
    </w:p>
    <w:p>
      <w:pPr>
        <w:snapToGrid w:val="0"/>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1、要求服务器部署在学校指定的计算机实验室里</w:t>
      </w:r>
    </w:p>
    <w:p>
      <w:pPr>
        <w:snapToGrid w:val="0"/>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2、老师管理席、学生席应是B/S结构。 以web（即网页）形式访问服务器。。</w:t>
      </w:r>
    </w:p>
    <w:p>
      <w:pPr>
        <w:snapToGrid w:val="0"/>
        <w:spacing w:line="440" w:lineRule="exact"/>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（三）实验教学软件的其他要求</w:t>
      </w:r>
    </w:p>
    <w:p>
      <w:pPr>
        <w:snapToGrid w:val="0"/>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1.提供软件、考核软件系统、实施与培训、课程教学大纲、课件PPT、教学习题、软件用户手册和其他已使用该软件的高校实验室的参观学习交流。</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2. 软件免费维保期至少5年，硬件免费维保期至少3年。总费用包含：招投标设备的运费，安装实施费用，培训费；发票费用，产品介质费。</w:t>
      </w:r>
    </w:p>
    <w:p>
      <w:pPr>
        <w:pStyle w:val="4"/>
        <w:spacing w:line="240" w:lineRule="auto"/>
      </w:pPr>
      <w:bookmarkStart w:id="79" w:name="_Toc3849"/>
      <w:r>
        <w:rPr>
          <w:rFonts w:hint="eastAsia"/>
        </w:rPr>
        <w:t>二、其他要求</w:t>
      </w:r>
      <w:bookmarkEnd w:id="79"/>
    </w:p>
    <w:p>
      <w:pPr>
        <w:spacing w:line="360" w:lineRule="auto"/>
        <w:ind w:firstLine="480" w:firstLineChars="200"/>
        <w:rPr>
          <w:sz w:val="24"/>
          <w:szCs w:val="24"/>
          <w:u w:val="single"/>
        </w:rPr>
      </w:pPr>
      <w:r>
        <w:rPr>
          <w:rFonts w:hint="eastAsia"/>
          <w:sz w:val="24"/>
          <w:szCs w:val="24"/>
        </w:rPr>
        <w:t>（一）交付期要求：</w:t>
      </w:r>
      <w:r>
        <w:rPr>
          <w:sz w:val="24"/>
          <w:szCs w:val="24"/>
          <w:u w:val="single"/>
        </w:rPr>
        <w:t>2017</w:t>
      </w:r>
      <w:r>
        <w:rPr>
          <w:rFonts w:hint="eastAsia"/>
          <w:sz w:val="24"/>
          <w:szCs w:val="24"/>
          <w:u w:val="single"/>
        </w:rPr>
        <w:t>年</w:t>
      </w:r>
      <w:r>
        <w:rPr>
          <w:sz w:val="24"/>
          <w:szCs w:val="24"/>
          <w:u w:val="single"/>
        </w:rPr>
        <w:t>1</w:t>
      </w:r>
      <w:r>
        <w:rPr>
          <w:rFonts w:hint="eastAsia"/>
          <w:sz w:val="24"/>
          <w:szCs w:val="24"/>
          <w:u w:val="single"/>
        </w:rPr>
        <w:t>月</w:t>
      </w:r>
      <w:r>
        <w:rPr>
          <w:sz w:val="24"/>
          <w:szCs w:val="24"/>
          <w:u w:val="single"/>
        </w:rPr>
        <w:t>20</w:t>
      </w:r>
      <w:r>
        <w:rPr>
          <w:rFonts w:hint="eastAsia"/>
          <w:sz w:val="24"/>
          <w:szCs w:val="24"/>
          <w:u w:val="single"/>
        </w:rPr>
        <w:t>日前安装、</w:t>
      </w:r>
      <w:r>
        <w:rPr>
          <w:sz w:val="24"/>
          <w:szCs w:val="24"/>
          <w:u w:val="single"/>
        </w:rPr>
        <w:t>调试</w:t>
      </w:r>
      <w:r>
        <w:rPr>
          <w:rFonts w:hint="eastAsia"/>
          <w:sz w:val="24"/>
          <w:szCs w:val="24"/>
          <w:u w:val="single"/>
        </w:rPr>
        <w:t>完毕并经验收</w:t>
      </w:r>
      <w:r>
        <w:rPr>
          <w:sz w:val="24"/>
          <w:szCs w:val="24"/>
          <w:u w:val="single"/>
        </w:rPr>
        <w:t>交付采购人。</w:t>
      </w:r>
      <w:r>
        <w:rPr>
          <w:rFonts w:hint="eastAsia"/>
          <w:sz w:val="24"/>
          <w:szCs w:val="24"/>
          <w:u w:val="single"/>
        </w:rPr>
        <w:t xml:space="preserve"> </w:t>
      </w:r>
    </w:p>
    <w:p>
      <w:pPr>
        <w:widowControl/>
        <w:autoSpaceDE/>
        <w:autoSpaceDN/>
        <w:adjustRightInd/>
        <w:rPr>
          <w:sz w:val="24"/>
          <w:szCs w:val="24"/>
        </w:rPr>
      </w:pPr>
      <w:r>
        <w:rPr>
          <w:rFonts w:hint="eastAsia"/>
          <w:sz w:val="24"/>
          <w:szCs w:val="24"/>
          <w:lang w:val="en-US" w:eastAsia="zh-CN"/>
        </w:rPr>
        <w:t xml:space="preserve">    </w:t>
      </w:r>
      <w:r>
        <w:rPr>
          <w:rFonts w:hint="eastAsia"/>
          <w:sz w:val="24"/>
          <w:szCs w:val="24"/>
        </w:rPr>
        <w:t>（二）所有分包谈判供应商须对其所投的软件进行现场演示，每个软件的演示时长不超过5分钟。</w:t>
      </w:r>
      <w:r>
        <w:rPr>
          <w:sz w:val="24"/>
          <w:szCs w:val="24"/>
        </w:rPr>
        <w:br w:type="page"/>
      </w:r>
    </w:p>
    <w:bookmarkEnd w:id="75"/>
    <w:bookmarkEnd w:id="77"/>
    <w:p>
      <w:pPr>
        <w:pStyle w:val="2"/>
        <w:spacing w:line="360" w:lineRule="auto"/>
        <w:jc w:val="center"/>
        <w:rPr>
          <w:rFonts w:hAnsi="宋体"/>
        </w:rPr>
      </w:pPr>
      <w:bookmarkStart w:id="80" w:name="_Toc14901"/>
      <w:r>
        <w:rPr>
          <w:rFonts w:hint="eastAsia" w:hAnsi="宋体"/>
        </w:rPr>
        <w:t>第三章 合同条款</w:t>
      </w:r>
      <w:bookmarkEnd w:id="69"/>
      <w:bookmarkEnd w:id="80"/>
    </w:p>
    <w:p>
      <w:pPr>
        <w:snapToGrid w:val="0"/>
        <w:spacing w:line="360" w:lineRule="auto"/>
        <w:ind w:right="840" w:firstLine="480" w:firstLineChars="200"/>
        <w:rPr>
          <w:rFonts w:asciiTheme="minorEastAsia" w:hAnsiTheme="minorEastAsia"/>
          <w:bCs/>
          <w:sz w:val="24"/>
          <w:szCs w:val="24"/>
        </w:rPr>
      </w:pPr>
      <w:bookmarkStart w:id="81" w:name="_Toc279410005"/>
      <w:r>
        <w:rPr>
          <w:rFonts w:hint="eastAsia" w:asciiTheme="minorEastAsia" w:hAnsiTheme="minorEastAsia"/>
          <w:bCs/>
          <w:sz w:val="24"/>
          <w:szCs w:val="24"/>
        </w:rPr>
        <w:t>合同编号：</w:t>
      </w:r>
    </w:p>
    <w:p>
      <w:pPr>
        <w:snapToGrid w:val="0"/>
        <w:spacing w:line="360" w:lineRule="auto"/>
        <w:ind w:firstLine="482" w:firstLineChars="200"/>
        <w:rPr>
          <w:rFonts w:asciiTheme="minorEastAsia" w:hAnsiTheme="minorEastAsia"/>
          <w:b/>
          <w:bCs/>
          <w:sz w:val="24"/>
          <w:szCs w:val="24"/>
        </w:rPr>
      </w:pPr>
      <w:r>
        <w:rPr>
          <w:rFonts w:hint="eastAsia" w:asciiTheme="minorEastAsia" w:hAnsiTheme="minorEastAsia"/>
          <w:b/>
          <w:bCs/>
          <w:sz w:val="24"/>
          <w:szCs w:val="24"/>
        </w:rPr>
        <w:t>买方：南京审计大学（以下称“甲方”）</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住所：   </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联系人：         联系电话：             传真：</w:t>
      </w:r>
    </w:p>
    <w:p>
      <w:pPr>
        <w:snapToGrid w:val="0"/>
        <w:spacing w:line="360" w:lineRule="auto"/>
        <w:ind w:firstLine="482" w:firstLineChars="200"/>
        <w:rPr>
          <w:rFonts w:asciiTheme="minorEastAsia" w:hAnsiTheme="minorEastAsia"/>
          <w:b/>
          <w:bCs/>
          <w:sz w:val="24"/>
          <w:szCs w:val="24"/>
        </w:rPr>
      </w:pPr>
      <w:r>
        <w:rPr>
          <w:rFonts w:hint="eastAsia" w:asciiTheme="minorEastAsia" w:hAnsiTheme="minorEastAsia"/>
          <w:b/>
          <w:bCs/>
          <w:sz w:val="24"/>
          <w:szCs w:val="24"/>
        </w:rPr>
        <w:t>卖方：             （以下称“乙方”）</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住所：   </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联系人：         联系电话：             传真：</w:t>
      </w:r>
    </w:p>
    <w:p>
      <w:pPr>
        <w:spacing w:line="360" w:lineRule="auto"/>
        <w:ind w:firstLine="480" w:firstLineChars="200"/>
        <w:rPr>
          <w:rFonts w:cs="宋体" w:asciiTheme="minorEastAsia" w:hAnsiTheme="minorEastAsia"/>
          <w:sz w:val="24"/>
          <w:szCs w:val="24"/>
        </w:rPr>
      </w:pP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甲乙双方经友好协商，甲方向乙方购买“</w:t>
      </w:r>
      <w:r>
        <w:rPr>
          <w:rFonts w:hint="eastAsia" w:cs="宋体" w:asciiTheme="minorEastAsia" w:hAnsiTheme="minorEastAsia"/>
          <w:color w:val="FF6500"/>
          <w:sz w:val="24"/>
          <w:szCs w:val="24"/>
          <w:u w:val="single"/>
        </w:rPr>
        <w:t xml:space="preserve">              </w:t>
      </w:r>
      <w:r>
        <w:rPr>
          <w:rFonts w:hint="eastAsia" w:cs="宋体" w:asciiTheme="minorEastAsia" w:hAnsiTheme="minorEastAsia"/>
          <w:color w:val="000000"/>
          <w:sz w:val="24"/>
          <w:szCs w:val="24"/>
        </w:rPr>
        <w:t>系统”并享有乙方提供的服务，根据《中华人民共和国合同法》及其他法律法规签订本合同，并由双方同恪守。</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条款如下：</w:t>
      </w:r>
    </w:p>
    <w:p>
      <w:pPr>
        <w:spacing w:line="360" w:lineRule="auto"/>
        <w:ind w:firstLine="482" w:firstLineChars="200"/>
        <w:rPr>
          <w:rFonts w:cs="宋体" w:asciiTheme="minorEastAsia" w:hAnsiTheme="minorEastAsia"/>
          <w:b/>
          <w:color w:val="000000"/>
          <w:sz w:val="24"/>
          <w:szCs w:val="24"/>
        </w:rPr>
      </w:pPr>
      <w:r>
        <w:rPr>
          <w:rFonts w:hint="eastAsia" w:cs="宋体" w:asciiTheme="minorEastAsia" w:hAnsiTheme="minorEastAsia"/>
          <w:b/>
          <w:color w:val="000000"/>
          <w:sz w:val="24"/>
          <w:szCs w:val="24"/>
        </w:rPr>
        <w:t>一、合同标的</w:t>
      </w:r>
    </w:p>
    <w:tbl>
      <w:tblPr>
        <w:tblStyle w:val="46"/>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2616"/>
        <w:gridCol w:w="1246"/>
        <w:gridCol w:w="1109"/>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9" w:type="dxa"/>
            <w:vAlign w:val="center"/>
          </w:tcPr>
          <w:p>
            <w:pPr>
              <w:jc w:val="center"/>
            </w:pPr>
            <w:r>
              <w:rPr>
                <w:rFonts w:hint="eastAsia"/>
              </w:rPr>
              <w:t>软件名称</w:t>
            </w:r>
          </w:p>
        </w:tc>
        <w:tc>
          <w:tcPr>
            <w:tcW w:w="2616" w:type="dxa"/>
            <w:vAlign w:val="center"/>
          </w:tcPr>
          <w:p>
            <w:pPr>
              <w:jc w:val="center"/>
            </w:pPr>
            <w:r>
              <w:rPr>
                <w:rFonts w:hint="eastAsia"/>
              </w:rPr>
              <w:t>简介</w:t>
            </w:r>
          </w:p>
        </w:tc>
        <w:tc>
          <w:tcPr>
            <w:tcW w:w="1246" w:type="dxa"/>
            <w:vAlign w:val="center"/>
          </w:tcPr>
          <w:p>
            <w:pPr>
              <w:jc w:val="center"/>
            </w:pPr>
            <w:r>
              <w:rPr>
                <w:rFonts w:hint="eastAsia"/>
              </w:rPr>
              <w:t>数量</w:t>
            </w:r>
          </w:p>
        </w:tc>
        <w:tc>
          <w:tcPr>
            <w:tcW w:w="1109" w:type="dxa"/>
            <w:vAlign w:val="center"/>
          </w:tcPr>
          <w:p>
            <w:pPr>
              <w:jc w:val="center"/>
            </w:pPr>
            <w:r>
              <w:rPr>
                <w:rFonts w:hint="eastAsia"/>
              </w:rPr>
              <w:t>单价</w:t>
            </w:r>
          </w:p>
        </w:tc>
        <w:tc>
          <w:tcPr>
            <w:tcW w:w="1022" w:type="dxa"/>
            <w:vAlign w:val="center"/>
          </w:tcPr>
          <w:p>
            <w:pPr>
              <w:jc w:val="center"/>
            </w:pPr>
            <w:r>
              <w:rPr>
                <w:rFonts w:hint="eastAsia"/>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9" w:type="dxa"/>
            <w:vAlign w:val="center"/>
          </w:tcPr>
          <w:p>
            <w:pPr>
              <w:jc w:val="center"/>
            </w:pPr>
          </w:p>
        </w:tc>
        <w:tc>
          <w:tcPr>
            <w:tcW w:w="2616" w:type="dxa"/>
            <w:vAlign w:val="center"/>
          </w:tcPr>
          <w:p>
            <w:pPr>
              <w:jc w:val="center"/>
            </w:pPr>
          </w:p>
        </w:tc>
        <w:tc>
          <w:tcPr>
            <w:tcW w:w="1246" w:type="dxa"/>
            <w:vAlign w:val="center"/>
          </w:tcPr>
          <w:p>
            <w:pPr>
              <w:jc w:val="center"/>
            </w:pPr>
          </w:p>
        </w:tc>
        <w:tc>
          <w:tcPr>
            <w:tcW w:w="1109" w:type="dxa"/>
            <w:vAlign w:val="center"/>
          </w:tcPr>
          <w:p>
            <w:pPr>
              <w:jc w:val="center"/>
            </w:pPr>
          </w:p>
        </w:tc>
        <w:tc>
          <w:tcPr>
            <w:tcW w:w="102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9" w:type="dxa"/>
            <w:vAlign w:val="center"/>
          </w:tcPr>
          <w:p>
            <w:pPr>
              <w:jc w:val="center"/>
            </w:pPr>
          </w:p>
        </w:tc>
        <w:tc>
          <w:tcPr>
            <w:tcW w:w="2616" w:type="dxa"/>
            <w:vAlign w:val="center"/>
          </w:tcPr>
          <w:p>
            <w:pPr>
              <w:jc w:val="center"/>
            </w:pPr>
          </w:p>
        </w:tc>
        <w:tc>
          <w:tcPr>
            <w:tcW w:w="1246" w:type="dxa"/>
            <w:vAlign w:val="center"/>
          </w:tcPr>
          <w:p>
            <w:pPr>
              <w:jc w:val="center"/>
            </w:pPr>
          </w:p>
        </w:tc>
        <w:tc>
          <w:tcPr>
            <w:tcW w:w="1109" w:type="dxa"/>
            <w:vAlign w:val="center"/>
          </w:tcPr>
          <w:p>
            <w:pPr>
              <w:jc w:val="center"/>
            </w:pPr>
          </w:p>
        </w:tc>
        <w:tc>
          <w:tcPr>
            <w:tcW w:w="102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302" w:type="dxa"/>
            <w:gridSpan w:val="5"/>
            <w:vAlign w:val="center"/>
          </w:tcPr>
          <w:p>
            <w:pPr>
              <w:jc w:val="center"/>
            </w:pPr>
            <w:r>
              <w:rPr>
                <w:rFonts w:hint="eastAsia"/>
              </w:rPr>
              <w:t>合计（含税）：              元（人民币大写：                 元整）</w:t>
            </w:r>
          </w:p>
        </w:tc>
      </w:tr>
    </w:tbl>
    <w:p>
      <w:pPr>
        <w:spacing w:line="360" w:lineRule="auto"/>
        <w:ind w:firstLine="482" w:firstLineChars="200"/>
        <w:rPr>
          <w:rFonts w:cs="宋体" w:asciiTheme="minorEastAsia" w:hAnsiTheme="minorEastAsia"/>
          <w:b/>
          <w:color w:val="000000"/>
          <w:sz w:val="24"/>
          <w:szCs w:val="24"/>
        </w:rPr>
      </w:pPr>
      <w:r>
        <w:rPr>
          <w:rFonts w:hint="eastAsia" w:cs="宋体" w:asciiTheme="minorEastAsia" w:hAnsiTheme="minorEastAsia"/>
          <w:b/>
          <w:color w:val="000000"/>
          <w:sz w:val="24"/>
          <w:szCs w:val="24"/>
        </w:rPr>
        <w:t>二、质量保障</w:t>
      </w:r>
    </w:p>
    <w:p>
      <w:pPr>
        <w:spacing w:line="360" w:lineRule="auto"/>
        <w:ind w:firstLine="480" w:firstLineChars="200"/>
        <w:rPr>
          <w:rFonts w:cs="宋体" w:asciiTheme="minorEastAsia" w:hAnsiTheme="minorEastAsia"/>
          <w:color w:val="000000"/>
          <w:sz w:val="24"/>
          <w:szCs w:val="24"/>
        </w:rPr>
      </w:pPr>
      <w:r>
        <w:rPr>
          <w:rFonts w:cs="宋体" w:asciiTheme="minorEastAsia" w:hAnsiTheme="minorEastAsia"/>
          <w:color w:val="000000"/>
          <w:sz w:val="24"/>
          <w:szCs w:val="24"/>
        </w:rPr>
        <w:t xml:space="preserve">2.1 </w:t>
      </w:r>
      <w:r>
        <w:rPr>
          <w:rFonts w:hint="eastAsia" w:cs="宋体" w:asciiTheme="minorEastAsia" w:hAnsiTheme="minorEastAsia"/>
          <w:color w:val="000000"/>
          <w:sz w:val="24"/>
          <w:szCs w:val="24"/>
        </w:rPr>
        <w:t>产品质量</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乙方保证：向甲方销售的软件产品功能与甲方要求及本产品相关的文字说明材料完全符合。</w:t>
      </w:r>
    </w:p>
    <w:p>
      <w:pPr>
        <w:spacing w:line="360" w:lineRule="auto"/>
        <w:ind w:firstLine="480" w:firstLineChars="200"/>
        <w:rPr>
          <w:rFonts w:cs="宋体" w:asciiTheme="minorEastAsia" w:hAnsiTheme="minorEastAsia"/>
          <w:color w:val="000000"/>
          <w:sz w:val="24"/>
          <w:szCs w:val="24"/>
        </w:rPr>
      </w:pPr>
      <w:r>
        <w:rPr>
          <w:rFonts w:cs="宋体" w:asciiTheme="minorEastAsia" w:hAnsiTheme="minorEastAsia"/>
          <w:color w:val="000000"/>
          <w:sz w:val="24"/>
          <w:szCs w:val="24"/>
        </w:rPr>
        <w:t xml:space="preserve">2.2 </w:t>
      </w:r>
      <w:r>
        <w:rPr>
          <w:rFonts w:hint="eastAsia" w:cs="宋体" w:asciiTheme="minorEastAsia" w:hAnsiTheme="minorEastAsia"/>
          <w:color w:val="000000"/>
          <w:sz w:val="24"/>
          <w:szCs w:val="24"/>
        </w:rPr>
        <w:t>服务质量</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乙方保证：向甲方所提供完全按照本合同第十条之规定提供优质及时的服务；并针对本项目出项目保修承诺函。</w:t>
      </w:r>
    </w:p>
    <w:p>
      <w:pPr>
        <w:spacing w:line="360" w:lineRule="auto"/>
        <w:ind w:firstLine="482" w:firstLineChars="200"/>
        <w:rPr>
          <w:rFonts w:cs="宋体" w:asciiTheme="minorEastAsia" w:hAnsiTheme="minorEastAsia"/>
          <w:b/>
          <w:color w:val="000000"/>
          <w:sz w:val="24"/>
          <w:szCs w:val="24"/>
        </w:rPr>
      </w:pPr>
      <w:r>
        <w:rPr>
          <w:rFonts w:hint="eastAsia" w:cs="宋体" w:asciiTheme="minorEastAsia" w:hAnsiTheme="minorEastAsia"/>
          <w:b/>
          <w:color w:val="000000"/>
          <w:sz w:val="24"/>
          <w:szCs w:val="24"/>
        </w:rPr>
        <w:t>三、合同价款</w:t>
      </w:r>
    </w:p>
    <w:p>
      <w:pPr>
        <w:spacing w:line="360" w:lineRule="auto"/>
        <w:ind w:firstLine="480" w:firstLineChars="200"/>
        <w:rPr>
          <w:rFonts w:cs="宋体" w:asciiTheme="minorEastAsia" w:hAnsiTheme="minorEastAsia"/>
          <w:color w:val="000000"/>
          <w:sz w:val="24"/>
          <w:szCs w:val="24"/>
        </w:rPr>
      </w:pPr>
      <w:r>
        <w:rPr>
          <w:rFonts w:cs="宋体" w:asciiTheme="minorEastAsia" w:hAnsiTheme="minorEastAsia"/>
          <w:color w:val="000000"/>
          <w:sz w:val="24"/>
          <w:szCs w:val="24"/>
        </w:rPr>
        <w:t xml:space="preserve">3.1 </w:t>
      </w:r>
      <w:r>
        <w:rPr>
          <w:rFonts w:hint="eastAsia" w:cs="宋体" w:asciiTheme="minorEastAsia" w:hAnsiTheme="minorEastAsia"/>
          <w:color w:val="000000"/>
          <w:sz w:val="24"/>
          <w:szCs w:val="24"/>
        </w:rPr>
        <w:t>乙方所提供产品总价款为：￥</w:t>
      </w:r>
      <w:r>
        <w:rPr>
          <w:rFonts w:cs="宋体" w:asciiTheme="minorEastAsia" w:hAnsiTheme="minorEastAsia"/>
          <w:color w:val="000000"/>
          <w:sz w:val="24"/>
          <w:szCs w:val="24"/>
          <w:u w:val="single"/>
        </w:rPr>
        <w:t xml:space="preserve">            </w:t>
      </w:r>
      <w:r>
        <w:rPr>
          <w:rFonts w:hint="eastAsia" w:cs="宋体" w:asciiTheme="minorEastAsia" w:hAnsiTheme="minorEastAsia"/>
          <w:color w:val="000000"/>
          <w:sz w:val="24"/>
          <w:szCs w:val="24"/>
        </w:rPr>
        <w:t>元，即人民币（大写）</w:t>
      </w:r>
      <w:r>
        <w:rPr>
          <w:rFonts w:hint="eastAsia" w:cs="宋体" w:asciiTheme="minorEastAsia" w:hAnsiTheme="minorEastAsia"/>
          <w:color w:val="000000"/>
          <w:sz w:val="24"/>
          <w:szCs w:val="24"/>
          <w:u w:val="single"/>
        </w:rPr>
        <w:t xml:space="preserve"> </w:t>
      </w:r>
      <w:r>
        <w:rPr>
          <w:rFonts w:cs="宋体" w:asciiTheme="minorEastAsia" w:hAnsiTheme="minorEastAsia"/>
          <w:color w:val="000000"/>
          <w:sz w:val="24"/>
          <w:szCs w:val="24"/>
          <w:u w:val="single"/>
        </w:rPr>
        <w:t xml:space="preserve">                    </w:t>
      </w:r>
      <w:r>
        <w:rPr>
          <w:rFonts w:hint="eastAsia" w:cs="宋体" w:asciiTheme="minorEastAsia" w:hAnsiTheme="minorEastAsia"/>
          <w:color w:val="000000"/>
          <w:sz w:val="24"/>
          <w:szCs w:val="24"/>
        </w:rPr>
        <w:t>元整，本合同价为含税价格。</w:t>
      </w:r>
    </w:p>
    <w:p>
      <w:pPr>
        <w:spacing w:line="360" w:lineRule="auto"/>
        <w:ind w:firstLine="480" w:firstLineChars="200"/>
        <w:rPr>
          <w:rFonts w:cs="宋体" w:asciiTheme="minorEastAsia" w:hAnsiTheme="minorEastAsia"/>
          <w:color w:val="000000"/>
          <w:sz w:val="24"/>
          <w:szCs w:val="24"/>
        </w:rPr>
      </w:pPr>
      <w:r>
        <w:rPr>
          <w:rFonts w:cs="宋体" w:asciiTheme="minorEastAsia" w:hAnsiTheme="minorEastAsia"/>
          <w:color w:val="000000"/>
          <w:sz w:val="24"/>
          <w:szCs w:val="24"/>
        </w:rPr>
        <w:t xml:space="preserve">3.2 </w:t>
      </w:r>
      <w:r>
        <w:rPr>
          <w:rFonts w:hint="eastAsia" w:cs="宋体" w:asciiTheme="minorEastAsia" w:hAnsiTheme="minorEastAsia"/>
          <w:color w:val="000000"/>
          <w:sz w:val="24"/>
          <w:szCs w:val="24"/>
        </w:rPr>
        <w:t>包括在本合同</w:t>
      </w:r>
      <w:r>
        <w:rPr>
          <w:rFonts w:cs="宋体" w:asciiTheme="minorEastAsia" w:hAnsiTheme="minorEastAsia"/>
          <w:color w:val="000000"/>
          <w:sz w:val="24"/>
          <w:szCs w:val="24"/>
        </w:rPr>
        <w:t xml:space="preserve">3.1 </w:t>
      </w:r>
      <w:r>
        <w:rPr>
          <w:rFonts w:hint="eastAsia" w:cs="宋体" w:asciiTheme="minorEastAsia" w:hAnsiTheme="minorEastAsia"/>
          <w:color w:val="000000"/>
          <w:sz w:val="24"/>
          <w:szCs w:val="24"/>
        </w:rPr>
        <w:t>条的合同总价中的合同软件，乙方应承担将其运送到甲方所在地的运输费用,安装调试费等一切各项应有费用，甲方不再向乙方支付其他任何有关各项费用。</w:t>
      </w:r>
    </w:p>
    <w:p>
      <w:pPr>
        <w:spacing w:line="360" w:lineRule="auto"/>
        <w:ind w:firstLine="482" w:firstLineChars="200"/>
        <w:rPr>
          <w:rFonts w:cs="宋体" w:asciiTheme="minorEastAsia" w:hAnsiTheme="minorEastAsia"/>
          <w:b/>
          <w:color w:val="000000"/>
          <w:sz w:val="24"/>
          <w:szCs w:val="24"/>
        </w:rPr>
      </w:pPr>
      <w:r>
        <w:rPr>
          <w:rFonts w:hint="eastAsia" w:cs="宋体" w:asciiTheme="minorEastAsia" w:hAnsiTheme="minorEastAsia"/>
          <w:b/>
          <w:color w:val="000000"/>
          <w:sz w:val="24"/>
          <w:szCs w:val="24"/>
        </w:rPr>
        <w:t>四、付款方式</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 xml:space="preserve">4.1 支付方式及时间： </w:t>
      </w:r>
    </w:p>
    <w:p>
      <w:pPr>
        <w:spacing w:line="360" w:lineRule="auto"/>
        <w:ind w:firstLine="600" w:firstLineChars="250"/>
        <w:rPr>
          <w:rFonts w:cs="宋体" w:asciiTheme="minorEastAsia" w:hAnsiTheme="minorEastAsia"/>
          <w:color w:val="000000"/>
          <w:sz w:val="24"/>
          <w:szCs w:val="24"/>
        </w:rPr>
      </w:pPr>
      <w:r>
        <w:rPr>
          <w:rFonts w:hint="eastAsia" w:cs="宋体" w:asciiTheme="minorEastAsia" w:hAnsiTheme="minorEastAsia"/>
          <w:color w:val="000000"/>
          <w:sz w:val="24"/>
          <w:szCs w:val="24"/>
        </w:rPr>
        <w:t>4</w:t>
      </w:r>
      <w:r>
        <w:rPr>
          <w:rFonts w:cs="宋体" w:asciiTheme="minorEastAsia" w:hAnsiTheme="minorEastAsia"/>
          <w:color w:val="000000"/>
          <w:sz w:val="24"/>
          <w:szCs w:val="24"/>
        </w:rPr>
        <w:t>.1.1</w:t>
      </w:r>
      <w:r>
        <w:rPr>
          <w:rFonts w:hint="eastAsia" w:cs="宋体" w:asciiTheme="minorEastAsia" w:hAnsiTheme="minorEastAsia"/>
          <w:color w:val="000000"/>
          <w:sz w:val="24"/>
          <w:szCs w:val="24"/>
        </w:rPr>
        <w:t>本合同签订之日起【</w:t>
      </w:r>
      <w:r>
        <w:rPr>
          <w:rFonts w:cs="宋体" w:asciiTheme="minorEastAsia" w:hAnsiTheme="minorEastAsia"/>
          <w:color w:val="000000"/>
          <w:sz w:val="24"/>
          <w:szCs w:val="24"/>
        </w:rPr>
        <w:t>5</w:t>
      </w:r>
      <w:r>
        <w:rPr>
          <w:rFonts w:hint="eastAsia" w:cs="宋体" w:asciiTheme="minorEastAsia" w:hAnsiTheme="minorEastAsia"/>
          <w:color w:val="000000"/>
          <w:sz w:val="24"/>
          <w:szCs w:val="24"/>
        </w:rPr>
        <w:t>】个工作日内，乙方向甲方支付合同总价款的【</w:t>
      </w:r>
      <w:r>
        <w:rPr>
          <w:rFonts w:cs="宋体" w:asciiTheme="minorEastAsia" w:hAnsiTheme="minorEastAsia"/>
          <w:color w:val="000000"/>
          <w:sz w:val="24"/>
          <w:szCs w:val="24"/>
        </w:rPr>
        <w:t>5</w:t>
      </w:r>
      <w:r>
        <w:rPr>
          <w:rFonts w:hint="eastAsia" w:cs="宋体" w:asciiTheme="minorEastAsia" w:hAnsiTheme="minorEastAsia"/>
          <w:color w:val="000000"/>
          <w:sz w:val="24"/>
          <w:szCs w:val="24"/>
        </w:rPr>
        <w:t>】 %作为</w:t>
      </w:r>
      <w:r>
        <w:rPr>
          <w:rFonts w:cs="宋体" w:asciiTheme="minorEastAsia" w:hAnsiTheme="minorEastAsia"/>
          <w:color w:val="000000"/>
          <w:sz w:val="24"/>
          <w:szCs w:val="24"/>
        </w:rPr>
        <w:t>质保金</w:t>
      </w:r>
      <w:r>
        <w:rPr>
          <w:rFonts w:hint="eastAsia" w:cs="宋体" w:asciiTheme="minorEastAsia" w:hAnsiTheme="minorEastAsia"/>
          <w:color w:val="000000"/>
          <w:sz w:val="24"/>
          <w:szCs w:val="24"/>
        </w:rPr>
        <w:t>，即￥        元（人民币大写：                    ），</w:t>
      </w:r>
      <w:r>
        <w:rPr>
          <w:rFonts w:cs="宋体" w:asciiTheme="minorEastAsia" w:hAnsiTheme="minorEastAsia"/>
          <w:color w:val="000000"/>
          <w:sz w:val="24"/>
          <w:szCs w:val="24"/>
        </w:rPr>
        <w:t>在软件最终验收合格之日起满</w:t>
      </w:r>
      <w:r>
        <w:rPr>
          <w:rFonts w:hint="eastAsia" w:cs="宋体" w:asciiTheme="minorEastAsia" w:hAnsiTheme="minorEastAsia"/>
          <w:color w:val="000000"/>
          <w:sz w:val="24"/>
          <w:szCs w:val="24"/>
          <w:u w:val="single"/>
        </w:rPr>
        <w:t xml:space="preserve">       </w:t>
      </w:r>
      <w:r>
        <w:rPr>
          <w:rFonts w:hint="eastAsia" w:cs="宋体" w:asciiTheme="minorEastAsia" w:hAnsiTheme="minorEastAsia"/>
          <w:color w:val="000000"/>
          <w:sz w:val="24"/>
          <w:szCs w:val="24"/>
        </w:rPr>
        <w:t>年</w:t>
      </w:r>
      <w:r>
        <w:rPr>
          <w:rFonts w:cs="宋体" w:asciiTheme="minorEastAsia" w:hAnsiTheme="minorEastAsia"/>
          <w:color w:val="000000"/>
          <w:sz w:val="24"/>
          <w:szCs w:val="24"/>
        </w:rPr>
        <w:t>且无任何争议后，甲方向乙方无息退还</w:t>
      </w:r>
      <w:r>
        <w:rPr>
          <w:rFonts w:hint="eastAsia" w:cs="宋体" w:asciiTheme="minorEastAsia" w:hAnsiTheme="minorEastAsia"/>
          <w:color w:val="000000"/>
          <w:sz w:val="24"/>
          <w:szCs w:val="24"/>
        </w:rPr>
        <w:t>。</w:t>
      </w:r>
    </w:p>
    <w:p>
      <w:pPr>
        <w:spacing w:line="360" w:lineRule="auto"/>
        <w:ind w:firstLine="600" w:firstLineChars="250"/>
        <w:rPr>
          <w:rFonts w:cs="宋体" w:asciiTheme="minorEastAsia" w:hAnsiTheme="minorEastAsia"/>
          <w:color w:val="000000"/>
          <w:sz w:val="24"/>
          <w:szCs w:val="24"/>
        </w:rPr>
      </w:pPr>
      <w:r>
        <w:rPr>
          <w:rFonts w:hint="eastAsia" w:cs="宋体" w:asciiTheme="minorEastAsia" w:hAnsiTheme="minorEastAsia"/>
          <w:color w:val="000000"/>
          <w:sz w:val="24"/>
          <w:szCs w:val="24"/>
        </w:rPr>
        <w:t>4</w:t>
      </w:r>
      <w:r>
        <w:rPr>
          <w:rFonts w:cs="宋体" w:asciiTheme="minorEastAsia" w:hAnsiTheme="minorEastAsia"/>
          <w:color w:val="000000"/>
          <w:sz w:val="24"/>
          <w:szCs w:val="24"/>
        </w:rPr>
        <w:t>.1.2</w:t>
      </w:r>
      <w:r>
        <w:rPr>
          <w:rFonts w:hint="eastAsia" w:cs="宋体" w:asciiTheme="minorEastAsia" w:hAnsiTheme="minorEastAsia"/>
          <w:color w:val="000000"/>
          <w:sz w:val="24"/>
          <w:szCs w:val="24"/>
        </w:rPr>
        <w:t>乙方交付软件，安装调试完毕并经甲方验收合格后【</w:t>
      </w:r>
      <w:r>
        <w:rPr>
          <w:rFonts w:cs="宋体" w:asciiTheme="minorEastAsia" w:hAnsiTheme="minorEastAsia"/>
          <w:color w:val="000000"/>
          <w:sz w:val="24"/>
          <w:szCs w:val="24"/>
        </w:rPr>
        <w:t>15</w:t>
      </w:r>
      <w:r>
        <w:rPr>
          <w:rFonts w:hint="eastAsia" w:cs="宋体" w:asciiTheme="minorEastAsia" w:hAnsiTheme="minorEastAsia"/>
          <w:color w:val="000000"/>
          <w:sz w:val="24"/>
          <w:szCs w:val="24"/>
        </w:rPr>
        <w:t>】个工作日内，甲方向乙方支付合同总价款的【</w:t>
      </w:r>
      <w:r>
        <w:rPr>
          <w:rFonts w:cs="宋体" w:asciiTheme="minorEastAsia" w:hAnsiTheme="minorEastAsia"/>
          <w:color w:val="000000"/>
          <w:sz w:val="24"/>
          <w:szCs w:val="24"/>
        </w:rPr>
        <w:t>100</w:t>
      </w:r>
      <w:r>
        <w:rPr>
          <w:rFonts w:hint="eastAsia" w:cs="宋体" w:asciiTheme="minorEastAsia" w:hAnsiTheme="minorEastAsia"/>
          <w:color w:val="000000"/>
          <w:sz w:val="24"/>
          <w:szCs w:val="24"/>
        </w:rPr>
        <w:t>】 %，即￥        元（人民币大写          ）。</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4.2 支付方式：√银行转账  □电汇  □银行承兑票据   □现金   □支票</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4.3 发票提供：乙方应在甲方每次付款前按甲方要求向甲方出具等额的发票。</w:t>
      </w:r>
    </w:p>
    <w:p>
      <w:pPr>
        <w:spacing w:line="360" w:lineRule="auto"/>
        <w:ind w:firstLine="480" w:firstLineChars="200"/>
        <w:rPr>
          <w:rFonts w:ascii="Times New Roman"/>
          <w:sz w:val="24"/>
          <w:szCs w:val="24"/>
        </w:rPr>
      </w:pPr>
      <w:r>
        <w:rPr>
          <w:rFonts w:hint="eastAsia" w:ascii="Times New Roman"/>
          <w:sz w:val="24"/>
          <w:szCs w:val="24"/>
        </w:rPr>
        <w:t>4.4乙方账户信息</w:t>
      </w:r>
      <w:r>
        <w:rPr>
          <w:rFonts w:hint="eastAsia"/>
          <w:sz w:val="24"/>
          <w:szCs w:val="24"/>
        </w:rPr>
        <w:t>：</w:t>
      </w:r>
    </w:p>
    <w:p>
      <w:pPr>
        <w:spacing w:line="360" w:lineRule="auto"/>
        <w:ind w:firstLine="480" w:firstLineChars="200"/>
        <w:rPr>
          <w:rFonts w:ascii="Times New Roman"/>
          <w:sz w:val="24"/>
          <w:szCs w:val="24"/>
        </w:rPr>
      </w:pPr>
      <w:r>
        <w:rPr>
          <w:rFonts w:hint="eastAsia" w:ascii="Times New Roman"/>
          <w:sz w:val="24"/>
          <w:szCs w:val="24"/>
        </w:rPr>
        <w:t>户名：</w:t>
      </w:r>
    </w:p>
    <w:p>
      <w:pPr>
        <w:spacing w:line="360" w:lineRule="auto"/>
        <w:ind w:firstLine="480" w:firstLineChars="200"/>
        <w:rPr>
          <w:rFonts w:ascii="Times New Roman"/>
          <w:sz w:val="24"/>
          <w:szCs w:val="24"/>
        </w:rPr>
      </w:pPr>
      <w:r>
        <w:rPr>
          <w:rFonts w:hint="eastAsia" w:ascii="Times New Roman"/>
          <w:sz w:val="24"/>
          <w:szCs w:val="24"/>
        </w:rPr>
        <w:t xml:space="preserve">开户行：            </w:t>
      </w:r>
    </w:p>
    <w:p>
      <w:pPr>
        <w:spacing w:line="360" w:lineRule="auto"/>
        <w:ind w:firstLine="480" w:firstLineChars="200"/>
        <w:rPr>
          <w:rFonts w:ascii="Times New Roman"/>
          <w:sz w:val="24"/>
          <w:szCs w:val="24"/>
        </w:rPr>
      </w:pPr>
      <w:r>
        <w:rPr>
          <w:rFonts w:hint="eastAsia" w:ascii="Times New Roman"/>
          <w:sz w:val="24"/>
          <w:szCs w:val="24"/>
        </w:rPr>
        <w:t>账号：</w:t>
      </w:r>
    </w:p>
    <w:p>
      <w:pPr>
        <w:spacing w:line="360" w:lineRule="auto"/>
        <w:ind w:firstLine="480" w:firstLineChars="200"/>
        <w:rPr>
          <w:rFonts w:ascii="Times New Roman"/>
          <w:sz w:val="24"/>
          <w:szCs w:val="24"/>
        </w:rPr>
      </w:pPr>
      <w:r>
        <w:rPr>
          <w:rFonts w:hint="eastAsia" w:ascii="Times New Roman"/>
          <w:sz w:val="24"/>
          <w:szCs w:val="24"/>
        </w:rPr>
        <w:t>行号：</w:t>
      </w:r>
    </w:p>
    <w:p>
      <w:pPr>
        <w:spacing w:line="360" w:lineRule="auto"/>
        <w:ind w:firstLine="482" w:firstLineChars="200"/>
        <w:rPr>
          <w:rFonts w:cs="宋体" w:asciiTheme="minorEastAsia" w:hAnsiTheme="minorEastAsia"/>
          <w:b/>
          <w:color w:val="000000"/>
          <w:sz w:val="24"/>
          <w:szCs w:val="24"/>
        </w:rPr>
      </w:pPr>
      <w:r>
        <w:rPr>
          <w:rFonts w:hint="eastAsia" w:cs="宋体" w:asciiTheme="minorEastAsia" w:hAnsiTheme="minorEastAsia"/>
          <w:b/>
          <w:color w:val="000000"/>
          <w:sz w:val="24"/>
          <w:szCs w:val="24"/>
        </w:rPr>
        <w:t>五、产品的交付</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甲方提前七个工作日通知乙方准确的交付及安装时间。</w:t>
      </w:r>
    </w:p>
    <w:p>
      <w:pPr>
        <w:spacing w:line="360" w:lineRule="auto"/>
        <w:ind w:firstLine="482" w:firstLineChars="200"/>
        <w:rPr>
          <w:rFonts w:cs="宋体" w:asciiTheme="minorEastAsia" w:hAnsiTheme="minorEastAsia"/>
          <w:b/>
          <w:color w:val="000000"/>
          <w:sz w:val="24"/>
          <w:szCs w:val="24"/>
        </w:rPr>
      </w:pPr>
      <w:r>
        <w:rPr>
          <w:rFonts w:hint="eastAsia" w:cs="宋体" w:asciiTheme="minorEastAsia" w:hAnsiTheme="minorEastAsia"/>
          <w:b/>
          <w:color w:val="000000"/>
          <w:sz w:val="24"/>
          <w:szCs w:val="24"/>
        </w:rPr>
        <w:t>六、安装调试</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乙方负责产品的安装、调试服务。乙方将委派经验丰富的认证技术服务工程师，现场完成甲方购买产品的安装调试工作，并确保该产品的安装和运行合格。具体安装调试时间由甲方指定。</w:t>
      </w:r>
    </w:p>
    <w:p>
      <w:pPr>
        <w:spacing w:line="360" w:lineRule="auto"/>
        <w:ind w:firstLine="482" w:firstLineChars="200"/>
        <w:rPr>
          <w:rFonts w:cs="宋体" w:asciiTheme="minorEastAsia" w:hAnsiTheme="minorEastAsia"/>
          <w:b/>
          <w:color w:val="000000"/>
          <w:sz w:val="24"/>
          <w:szCs w:val="24"/>
        </w:rPr>
      </w:pPr>
      <w:r>
        <w:rPr>
          <w:rFonts w:hint="eastAsia" w:cs="宋体" w:asciiTheme="minorEastAsia" w:hAnsiTheme="minorEastAsia"/>
          <w:b/>
          <w:color w:val="000000"/>
          <w:sz w:val="24"/>
          <w:szCs w:val="24"/>
        </w:rPr>
        <w:t>七、软件培训</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乙方负责提供软件现场操作培训。乙方将派遣工程师现场培训，直至甲方工程师能独立完成相关操作及日常维护工作，具体软件培训日期由甲方指定并提前10天通知乙方。</w:t>
      </w:r>
    </w:p>
    <w:p>
      <w:pPr>
        <w:spacing w:line="360" w:lineRule="auto"/>
        <w:ind w:firstLine="482" w:firstLineChars="200"/>
        <w:rPr>
          <w:rFonts w:cs="宋体" w:asciiTheme="minorEastAsia" w:hAnsiTheme="minorEastAsia"/>
          <w:b/>
          <w:color w:val="000000"/>
          <w:sz w:val="24"/>
          <w:szCs w:val="24"/>
        </w:rPr>
      </w:pPr>
      <w:r>
        <w:rPr>
          <w:rFonts w:hint="eastAsia" w:cs="宋体" w:asciiTheme="minorEastAsia" w:hAnsiTheme="minorEastAsia"/>
          <w:b/>
          <w:color w:val="000000"/>
          <w:sz w:val="24"/>
          <w:szCs w:val="24"/>
        </w:rPr>
        <w:t>八、验收标准及时间</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乙方为甲方提供软件产品并安装、调试后，经乙方提请，甲方应在五个工作日内组织验收，并填写乙方出具的验收报告。本软件产品验收标准以有功能介绍性的产品资料为准。</w:t>
      </w:r>
    </w:p>
    <w:p>
      <w:pPr>
        <w:spacing w:line="360" w:lineRule="auto"/>
        <w:ind w:firstLine="482" w:firstLineChars="200"/>
        <w:rPr>
          <w:rFonts w:cs="宋体" w:asciiTheme="minorEastAsia" w:hAnsiTheme="minorEastAsia"/>
          <w:b/>
          <w:color w:val="000000"/>
          <w:sz w:val="24"/>
          <w:szCs w:val="24"/>
        </w:rPr>
      </w:pPr>
      <w:r>
        <w:rPr>
          <w:rFonts w:hint="eastAsia" w:cs="宋体" w:asciiTheme="minorEastAsia" w:hAnsiTheme="minorEastAsia"/>
          <w:b/>
          <w:color w:val="000000"/>
          <w:sz w:val="24"/>
          <w:szCs w:val="24"/>
        </w:rPr>
        <w:t>九、版权归属</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本软件之版权归乙方。甲方经由乙方授权使用本软件。</w:t>
      </w:r>
    </w:p>
    <w:p>
      <w:pPr>
        <w:spacing w:line="360" w:lineRule="auto"/>
        <w:ind w:firstLine="482" w:firstLineChars="200"/>
        <w:rPr>
          <w:rFonts w:cs="宋体" w:asciiTheme="minorEastAsia" w:hAnsiTheme="minorEastAsia"/>
          <w:b/>
          <w:color w:val="000000"/>
          <w:sz w:val="24"/>
          <w:szCs w:val="24"/>
        </w:rPr>
      </w:pPr>
      <w:r>
        <w:rPr>
          <w:rFonts w:hint="eastAsia" w:cs="宋体" w:asciiTheme="minorEastAsia" w:hAnsiTheme="minorEastAsia"/>
          <w:b/>
          <w:color w:val="000000"/>
          <w:sz w:val="24"/>
          <w:szCs w:val="24"/>
        </w:rPr>
        <w:t>十、服务项目</w:t>
      </w:r>
    </w:p>
    <w:p>
      <w:pPr>
        <w:spacing w:line="360" w:lineRule="auto"/>
        <w:ind w:firstLine="480" w:firstLineChars="200"/>
        <w:rPr>
          <w:rFonts w:cs="宋体" w:asciiTheme="minorEastAsia" w:hAnsiTheme="minorEastAsia"/>
          <w:color w:val="000000"/>
          <w:sz w:val="24"/>
          <w:szCs w:val="24"/>
        </w:rPr>
      </w:pPr>
      <w:r>
        <w:rPr>
          <w:rFonts w:cs="宋体" w:asciiTheme="minorEastAsia" w:hAnsiTheme="minorEastAsia"/>
          <w:color w:val="000000"/>
          <w:sz w:val="24"/>
          <w:szCs w:val="24"/>
        </w:rPr>
        <w:t xml:space="preserve">10.1 </w:t>
      </w:r>
      <w:r>
        <w:rPr>
          <w:rFonts w:hint="eastAsia" w:cs="宋体" w:asciiTheme="minorEastAsia" w:hAnsiTheme="minorEastAsia"/>
          <w:color w:val="000000"/>
          <w:sz w:val="24"/>
          <w:szCs w:val="24"/>
        </w:rPr>
        <w:t>乙方在工作时间内随时为甲方以电话、传真、电子邮件方式免费提供所买产品的服务与技术支持维护，通常软件系统故障，提供实时响应远程解决。在远程维护无法排除故障时，乙方提供</w:t>
      </w:r>
      <w:r>
        <w:rPr>
          <w:rFonts w:cs="宋体" w:asciiTheme="minorEastAsia" w:hAnsiTheme="minorEastAsia"/>
          <w:color w:val="000000"/>
          <w:sz w:val="24"/>
          <w:szCs w:val="24"/>
        </w:rPr>
        <w:t xml:space="preserve">48 </w:t>
      </w:r>
      <w:r>
        <w:rPr>
          <w:rFonts w:hint="eastAsia" w:cs="宋体" w:asciiTheme="minorEastAsia" w:hAnsiTheme="minorEastAsia"/>
          <w:color w:val="000000"/>
          <w:sz w:val="24"/>
          <w:szCs w:val="24"/>
        </w:rPr>
        <w:t>小时内到达现场服务。</w:t>
      </w:r>
    </w:p>
    <w:p>
      <w:pPr>
        <w:spacing w:line="360" w:lineRule="auto"/>
        <w:ind w:firstLine="480" w:firstLineChars="200"/>
        <w:rPr>
          <w:rFonts w:cs="宋体" w:asciiTheme="minorEastAsia" w:hAnsiTheme="minorEastAsia"/>
          <w:color w:val="000000"/>
          <w:sz w:val="24"/>
          <w:szCs w:val="24"/>
        </w:rPr>
      </w:pPr>
      <w:r>
        <w:rPr>
          <w:rFonts w:cs="宋体" w:asciiTheme="minorEastAsia" w:hAnsiTheme="minorEastAsia"/>
          <w:color w:val="000000"/>
          <w:sz w:val="24"/>
          <w:szCs w:val="24"/>
        </w:rPr>
        <w:t xml:space="preserve">10.2 </w:t>
      </w:r>
      <w:r>
        <w:rPr>
          <w:rFonts w:hint="eastAsia" w:cs="宋体" w:asciiTheme="minorEastAsia" w:hAnsiTheme="minorEastAsia"/>
          <w:color w:val="000000"/>
          <w:sz w:val="24"/>
          <w:szCs w:val="24"/>
        </w:rPr>
        <w:t>在正常使用情况下，乙方对所提供的软件提供</w:t>
      </w:r>
      <w:r>
        <w:rPr>
          <w:rFonts w:hint="eastAsia" w:cs="宋体" w:asciiTheme="minorEastAsia" w:hAnsiTheme="minorEastAsia"/>
          <w:color w:val="000000"/>
          <w:sz w:val="24"/>
          <w:szCs w:val="24"/>
          <w:u w:val="single"/>
        </w:rPr>
        <w:t xml:space="preserve">       </w:t>
      </w:r>
      <w:r>
        <w:rPr>
          <w:rFonts w:hint="eastAsia" w:cs="宋体" w:asciiTheme="minorEastAsia" w:hAnsiTheme="minorEastAsia"/>
          <w:color w:val="000000"/>
          <w:sz w:val="24"/>
          <w:szCs w:val="24"/>
        </w:rPr>
        <w:t>年的免费售后服务。售后服务期自验收合格之日起计算（由于甲方原因不能验收或推迟验收，则保修期以软件实际交付甲方之日起）。</w:t>
      </w:r>
    </w:p>
    <w:p>
      <w:pPr>
        <w:spacing w:line="360" w:lineRule="auto"/>
        <w:ind w:firstLine="480" w:firstLineChars="200"/>
        <w:rPr>
          <w:rFonts w:cs="宋体" w:asciiTheme="minorEastAsia" w:hAnsiTheme="minorEastAsia"/>
          <w:color w:val="000000"/>
          <w:sz w:val="24"/>
          <w:szCs w:val="24"/>
        </w:rPr>
      </w:pPr>
      <w:r>
        <w:rPr>
          <w:rFonts w:cs="宋体" w:asciiTheme="minorEastAsia" w:hAnsiTheme="minorEastAsia"/>
          <w:color w:val="000000"/>
          <w:sz w:val="24"/>
          <w:szCs w:val="24"/>
        </w:rPr>
        <w:t xml:space="preserve">10.3 </w:t>
      </w:r>
      <w:r>
        <w:rPr>
          <w:rFonts w:hint="eastAsia" w:cs="宋体" w:asciiTheme="minorEastAsia" w:hAnsiTheme="minorEastAsia"/>
          <w:color w:val="000000"/>
          <w:sz w:val="24"/>
          <w:szCs w:val="24"/>
        </w:rPr>
        <w:t>自验收之日起</w:t>
      </w:r>
      <w:r>
        <w:rPr>
          <w:rFonts w:hint="eastAsia" w:cs="宋体" w:asciiTheme="minorEastAsia" w:hAnsiTheme="minorEastAsia"/>
          <w:color w:val="000000"/>
          <w:sz w:val="24"/>
          <w:szCs w:val="24"/>
          <w:u w:val="single"/>
        </w:rPr>
        <w:t xml:space="preserve">      </w:t>
      </w:r>
      <w:r>
        <w:rPr>
          <w:rFonts w:hint="eastAsia" w:cs="宋体" w:asciiTheme="minorEastAsia" w:hAnsiTheme="minorEastAsia"/>
          <w:color w:val="000000"/>
          <w:sz w:val="24"/>
          <w:szCs w:val="24"/>
        </w:rPr>
        <w:t>年内，如遇软件升级，乙方免费提供升级支持。</w:t>
      </w:r>
    </w:p>
    <w:p>
      <w:pPr>
        <w:spacing w:line="360" w:lineRule="auto"/>
        <w:ind w:firstLine="480" w:firstLineChars="200"/>
        <w:rPr>
          <w:rFonts w:cs="宋体" w:asciiTheme="minorEastAsia" w:hAnsiTheme="minorEastAsia"/>
          <w:color w:val="000000"/>
          <w:sz w:val="24"/>
          <w:szCs w:val="24"/>
        </w:rPr>
      </w:pPr>
      <w:r>
        <w:rPr>
          <w:rFonts w:cs="宋体" w:asciiTheme="minorEastAsia" w:hAnsiTheme="minorEastAsia"/>
          <w:color w:val="000000"/>
          <w:sz w:val="24"/>
          <w:szCs w:val="24"/>
        </w:rPr>
        <w:t xml:space="preserve">10.4 </w:t>
      </w:r>
      <w:r>
        <w:rPr>
          <w:rFonts w:hint="eastAsia" w:cs="宋体" w:asciiTheme="minorEastAsia" w:hAnsiTheme="minorEastAsia"/>
          <w:color w:val="000000"/>
          <w:sz w:val="24"/>
          <w:szCs w:val="24"/>
        </w:rPr>
        <w:t>乙方负责对甲方操作人员进行免费培训。</w:t>
      </w:r>
    </w:p>
    <w:p>
      <w:pPr>
        <w:spacing w:line="360" w:lineRule="auto"/>
        <w:ind w:firstLine="482" w:firstLineChars="200"/>
        <w:rPr>
          <w:rFonts w:cs="宋体" w:asciiTheme="minorEastAsia" w:hAnsiTheme="minorEastAsia"/>
          <w:b/>
          <w:color w:val="000000"/>
          <w:sz w:val="24"/>
          <w:szCs w:val="24"/>
        </w:rPr>
      </w:pPr>
      <w:r>
        <w:rPr>
          <w:rFonts w:hint="eastAsia" w:cs="宋体" w:asciiTheme="minorEastAsia" w:hAnsiTheme="minorEastAsia"/>
          <w:b/>
          <w:color w:val="000000"/>
          <w:sz w:val="24"/>
          <w:szCs w:val="24"/>
        </w:rPr>
        <w:t>十一、双方的责任和义务</w:t>
      </w:r>
    </w:p>
    <w:p>
      <w:pPr>
        <w:spacing w:line="360" w:lineRule="auto"/>
        <w:ind w:firstLine="480" w:firstLineChars="200"/>
        <w:rPr>
          <w:rFonts w:cs="宋体" w:asciiTheme="minorEastAsia" w:hAnsiTheme="minorEastAsia"/>
          <w:color w:val="000000"/>
          <w:sz w:val="24"/>
          <w:szCs w:val="24"/>
        </w:rPr>
      </w:pPr>
      <w:r>
        <w:rPr>
          <w:rFonts w:cs="宋体" w:asciiTheme="minorEastAsia" w:hAnsiTheme="minorEastAsia"/>
          <w:color w:val="000000"/>
          <w:sz w:val="24"/>
          <w:szCs w:val="24"/>
        </w:rPr>
        <w:t xml:space="preserve">11.1 </w:t>
      </w:r>
      <w:r>
        <w:rPr>
          <w:rFonts w:hint="eastAsia" w:cs="宋体" w:asciiTheme="minorEastAsia" w:hAnsiTheme="minorEastAsia"/>
          <w:color w:val="000000"/>
          <w:sz w:val="24"/>
          <w:szCs w:val="24"/>
        </w:rPr>
        <w:t>甲方的责任和义务</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① 配合乙方准备好系统实施环境。</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② 按付款方式所列按期按时付清软件费用。</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③ 组织应用人员进行系统使用与验收工作。</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④ 甲方严格在软件许可下使用本软件，不可对产品进行解密或将产品交给他解密。</w:t>
      </w:r>
    </w:p>
    <w:p>
      <w:pPr>
        <w:spacing w:line="360" w:lineRule="auto"/>
        <w:ind w:firstLine="480" w:firstLineChars="200"/>
        <w:rPr>
          <w:rFonts w:cs="宋体" w:asciiTheme="minorEastAsia" w:hAnsiTheme="minorEastAsia"/>
          <w:color w:val="000000"/>
          <w:sz w:val="24"/>
          <w:szCs w:val="24"/>
        </w:rPr>
      </w:pPr>
      <w:r>
        <w:rPr>
          <w:rFonts w:cs="宋体" w:asciiTheme="minorEastAsia" w:hAnsiTheme="minorEastAsia"/>
          <w:color w:val="000000"/>
          <w:sz w:val="24"/>
          <w:szCs w:val="24"/>
        </w:rPr>
        <w:t xml:space="preserve">11.2 </w:t>
      </w:r>
      <w:r>
        <w:rPr>
          <w:rFonts w:hint="eastAsia" w:cs="宋体" w:asciiTheme="minorEastAsia" w:hAnsiTheme="minorEastAsia"/>
          <w:color w:val="000000"/>
          <w:sz w:val="24"/>
          <w:szCs w:val="24"/>
        </w:rPr>
        <w:t>乙方的责任和义务</w:t>
      </w:r>
    </w:p>
    <w:p>
      <w:pPr>
        <w:spacing w:line="360" w:lineRule="auto"/>
        <w:ind w:firstLine="480" w:firstLineChars="200"/>
        <w:rPr>
          <w:rFonts w:cs="宋体" w:asciiTheme="minorEastAsia" w:hAnsiTheme="minorEastAsia"/>
          <w:color w:val="000000"/>
          <w:sz w:val="24"/>
          <w:szCs w:val="24"/>
        </w:rPr>
      </w:pPr>
      <w:r>
        <w:rPr>
          <w:rFonts w:hint="eastAsia" w:hAnsi="宋体" w:cs="宋体"/>
          <w:color w:val="000000"/>
          <w:sz w:val="24"/>
          <w:szCs w:val="24"/>
        </w:rPr>
        <w:t xml:space="preserve">① </w:t>
      </w:r>
      <w:r>
        <w:rPr>
          <w:rFonts w:hint="eastAsia" w:cs="宋体" w:asciiTheme="minorEastAsia" w:hAnsiTheme="minorEastAsia"/>
          <w:color w:val="000000"/>
          <w:sz w:val="24"/>
          <w:szCs w:val="24"/>
        </w:rPr>
        <w:t>按照以上服务内容进行优质及时服务。</w:t>
      </w:r>
    </w:p>
    <w:p>
      <w:pPr>
        <w:spacing w:line="360" w:lineRule="auto"/>
        <w:ind w:firstLine="480" w:firstLineChars="200"/>
        <w:rPr>
          <w:rFonts w:cs="宋体" w:asciiTheme="minorEastAsia" w:hAnsiTheme="minorEastAsia"/>
          <w:color w:val="000000"/>
          <w:sz w:val="24"/>
          <w:szCs w:val="24"/>
        </w:rPr>
      </w:pPr>
      <w:r>
        <w:rPr>
          <w:rFonts w:hint="eastAsia" w:hAnsi="宋体" w:cs="宋体"/>
          <w:color w:val="000000"/>
          <w:sz w:val="24"/>
          <w:szCs w:val="24"/>
        </w:rPr>
        <w:t xml:space="preserve">② </w:t>
      </w:r>
      <w:r>
        <w:rPr>
          <w:rFonts w:hint="eastAsia" w:cs="宋体" w:asciiTheme="minorEastAsia" w:hAnsiTheme="minorEastAsia"/>
          <w:color w:val="000000"/>
          <w:sz w:val="24"/>
          <w:szCs w:val="24"/>
        </w:rPr>
        <w:t>遵循相应职业道德对开发过程中涉及到甲方的有关数据机密进行严格保密。</w:t>
      </w:r>
    </w:p>
    <w:p>
      <w:pPr>
        <w:spacing w:line="360" w:lineRule="auto"/>
        <w:ind w:firstLine="480" w:firstLineChars="200"/>
        <w:rPr>
          <w:rFonts w:cs="宋体" w:asciiTheme="minorEastAsia" w:hAnsiTheme="minorEastAsia"/>
          <w:color w:val="000000"/>
          <w:sz w:val="24"/>
          <w:szCs w:val="24"/>
        </w:rPr>
      </w:pPr>
      <w:r>
        <w:rPr>
          <w:rFonts w:hint="eastAsia" w:hAnsi="宋体" w:cs="宋体"/>
          <w:color w:val="000000"/>
          <w:sz w:val="24"/>
          <w:szCs w:val="24"/>
        </w:rPr>
        <w:t xml:space="preserve">③ </w:t>
      </w:r>
      <w:r>
        <w:rPr>
          <w:rFonts w:hint="eastAsia" w:cs="宋体" w:asciiTheme="minorEastAsia" w:hAnsiTheme="minorEastAsia"/>
          <w:color w:val="000000"/>
          <w:sz w:val="24"/>
          <w:szCs w:val="24"/>
        </w:rPr>
        <w:t>甲方在购买上述产品后，如果通过任何方式发现存在软件</w:t>
      </w:r>
      <w:r>
        <w:rPr>
          <w:rFonts w:cs="宋体" w:asciiTheme="minorEastAsia" w:hAnsiTheme="minorEastAsia"/>
          <w:color w:val="000000"/>
          <w:sz w:val="24"/>
          <w:szCs w:val="24"/>
        </w:rPr>
        <w:t>BUG</w:t>
      </w:r>
      <w:r>
        <w:rPr>
          <w:rFonts w:hint="eastAsia" w:cs="宋体" w:asciiTheme="minorEastAsia" w:hAnsiTheme="minorEastAsia"/>
          <w:color w:val="000000"/>
          <w:sz w:val="24"/>
          <w:szCs w:val="24"/>
        </w:rPr>
        <w:t>，乙方负责免费更改。</w:t>
      </w:r>
    </w:p>
    <w:p>
      <w:pPr>
        <w:spacing w:line="360" w:lineRule="auto"/>
        <w:ind w:firstLine="480" w:firstLineChars="200"/>
        <w:rPr>
          <w:rFonts w:cs="宋体" w:asciiTheme="minorEastAsia" w:hAnsiTheme="minorEastAsia"/>
          <w:color w:val="000000"/>
          <w:sz w:val="24"/>
          <w:szCs w:val="24"/>
        </w:rPr>
      </w:pPr>
      <w:r>
        <w:rPr>
          <w:rFonts w:hint="eastAsia" w:hAnsi="宋体" w:cs="宋体"/>
          <w:color w:val="000000"/>
          <w:sz w:val="24"/>
          <w:szCs w:val="24"/>
        </w:rPr>
        <w:t xml:space="preserve">④ </w:t>
      </w:r>
      <w:r>
        <w:rPr>
          <w:rFonts w:hint="eastAsia" w:cs="宋体" w:asciiTheme="minorEastAsia" w:hAnsiTheme="minorEastAsia"/>
          <w:color w:val="000000"/>
          <w:sz w:val="24"/>
          <w:szCs w:val="24"/>
        </w:rPr>
        <w:t>为甲方提供软件使用培训。</w:t>
      </w:r>
    </w:p>
    <w:p>
      <w:pPr>
        <w:spacing w:line="360" w:lineRule="auto"/>
        <w:ind w:firstLine="480" w:firstLineChars="200"/>
        <w:rPr>
          <w:rFonts w:cs="宋体" w:asciiTheme="minorEastAsia" w:hAnsiTheme="minorEastAsia"/>
          <w:color w:val="000000"/>
          <w:sz w:val="24"/>
          <w:szCs w:val="24"/>
        </w:rPr>
      </w:pPr>
      <w:r>
        <w:rPr>
          <w:rFonts w:hint="eastAsia" w:hAnsi="宋体" w:cs="宋体"/>
          <w:color w:val="000000"/>
          <w:sz w:val="24"/>
          <w:szCs w:val="24"/>
        </w:rPr>
        <w:t xml:space="preserve">⑤ </w:t>
      </w:r>
      <w:r>
        <w:rPr>
          <w:rFonts w:hint="eastAsia" w:cs="宋体" w:asciiTheme="minorEastAsia" w:hAnsiTheme="minorEastAsia"/>
          <w:color w:val="000000"/>
          <w:sz w:val="24"/>
          <w:szCs w:val="24"/>
        </w:rPr>
        <w:t>接到甲方服务请求，在服务期，系统出现故障，将根据故障级别在规定时间内响应甲方，并根据实际情况进行远端解决或现场解决。如果出现一级故障，除在规定的</w:t>
      </w:r>
      <w:r>
        <w:rPr>
          <w:rFonts w:cs="宋体" w:asciiTheme="minorEastAsia" w:hAnsiTheme="minorEastAsia"/>
          <w:color w:val="000000"/>
          <w:sz w:val="24"/>
          <w:szCs w:val="24"/>
        </w:rPr>
        <w:t>2</w:t>
      </w:r>
      <w:r>
        <w:rPr>
          <w:rFonts w:hint="eastAsia" w:cs="宋体" w:asciiTheme="minorEastAsia" w:hAnsiTheme="minorEastAsia"/>
          <w:color w:val="000000"/>
          <w:sz w:val="24"/>
          <w:szCs w:val="24"/>
        </w:rPr>
        <w:t>小时内响应用户外，并安排工程师以拨号访问等方式提供远端服务，在最短时间内排除故障、恢复系统；同时，派技术专家在</w:t>
      </w:r>
      <w:r>
        <w:rPr>
          <w:rFonts w:cs="宋体" w:asciiTheme="minorEastAsia" w:hAnsiTheme="minorEastAsia"/>
          <w:color w:val="000000"/>
          <w:sz w:val="24"/>
          <w:szCs w:val="24"/>
        </w:rPr>
        <w:t xml:space="preserve">4 </w:t>
      </w:r>
      <w:r>
        <w:rPr>
          <w:rFonts w:hint="eastAsia" w:cs="宋体" w:asciiTheme="minorEastAsia" w:hAnsiTheme="minorEastAsia"/>
          <w:color w:val="000000"/>
          <w:sz w:val="24"/>
          <w:szCs w:val="24"/>
        </w:rPr>
        <w:t>小时内到达最终用户现场进行问题处理；并承诺在</w:t>
      </w:r>
      <w:r>
        <w:rPr>
          <w:rFonts w:cs="宋体" w:asciiTheme="minorEastAsia" w:hAnsiTheme="minorEastAsia"/>
          <w:color w:val="000000"/>
          <w:sz w:val="24"/>
          <w:szCs w:val="24"/>
        </w:rPr>
        <w:t xml:space="preserve">8 </w:t>
      </w:r>
      <w:r>
        <w:rPr>
          <w:rFonts w:hint="eastAsia" w:cs="宋体" w:asciiTheme="minorEastAsia" w:hAnsiTheme="minorEastAsia"/>
          <w:color w:val="000000"/>
          <w:sz w:val="24"/>
          <w:szCs w:val="24"/>
        </w:rPr>
        <w:t>小时内解决故障。</w:t>
      </w:r>
    </w:p>
    <w:p>
      <w:pPr>
        <w:spacing w:line="360" w:lineRule="auto"/>
        <w:ind w:firstLine="480" w:firstLineChars="200"/>
        <w:rPr>
          <w:rFonts w:cs="宋体" w:asciiTheme="minorEastAsia" w:hAnsiTheme="minorEastAsia"/>
          <w:color w:val="000000"/>
          <w:sz w:val="24"/>
          <w:szCs w:val="24"/>
        </w:rPr>
      </w:pPr>
      <w:r>
        <w:rPr>
          <w:rFonts w:hint="eastAsia" w:hAnsi="宋体" w:cs="宋体"/>
          <w:color w:val="000000"/>
          <w:sz w:val="24"/>
          <w:szCs w:val="24"/>
        </w:rPr>
        <w:t xml:space="preserve">⑥ </w:t>
      </w:r>
      <w:r>
        <w:rPr>
          <w:rFonts w:hint="eastAsia" w:cs="宋体" w:asciiTheme="minorEastAsia" w:hAnsiTheme="minorEastAsia"/>
          <w:color w:val="000000"/>
          <w:sz w:val="24"/>
          <w:szCs w:val="24"/>
        </w:rPr>
        <w:t>负责系统升级。</w:t>
      </w:r>
    </w:p>
    <w:p>
      <w:pPr>
        <w:spacing w:line="360" w:lineRule="auto"/>
        <w:ind w:firstLine="480" w:firstLineChars="200"/>
        <w:rPr>
          <w:rFonts w:cs="宋体" w:asciiTheme="minorEastAsia" w:hAnsiTheme="minorEastAsia"/>
          <w:color w:val="000000"/>
          <w:sz w:val="24"/>
          <w:szCs w:val="24"/>
        </w:rPr>
      </w:pPr>
      <w:r>
        <w:rPr>
          <w:rFonts w:hint="eastAsia" w:hAnsi="宋体" w:cs="宋体"/>
          <w:color w:val="000000"/>
          <w:sz w:val="24"/>
          <w:szCs w:val="24"/>
        </w:rPr>
        <w:t xml:space="preserve">⑦ </w:t>
      </w:r>
      <w:r>
        <w:rPr>
          <w:rFonts w:hint="eastAsia" w:cs="宋体" w:asciiTheme="minorEastAsia" w:hAnsiTheme="minorEastAsia"/>
          <w:color w:val="000000"/>
          <w:sz w:val="24"/>
          <w:szCs w:val="24"/>
        </w:rPr>
        <w:t>提供所有系统执行文件及软件产品配套包含的内容。</w:t>
      </w:r>
    </w:p>
    <w:p>
      <w:pPr>
        <w:spacing w:line="360" w:lineRule="auto"/>
        <w:ind w:firstLine="482" w:firstLineChars="200"/>
        <w:rPr>
          <w:rFonts w:cs="宋体" w:asciiTheme="minorEastAsia" w:hAnsiTheme="minorEastAsia"/>
          <w:b/>
          <w:color w:val="000000"/>
          <w:sz w:val="24"/>
          <w:szCs w:val="24"/>
        </w:rPr>
      </w:pPr>
      <w:r>
        <w:rPr>
          <w:rFonts w:hint="eastAsia" w:cs="宋体" w:asciiTheme="minorEastAsia" w:hAnsiTheme="minorEastAsia"/>
          <w:b/>
          <w:color w:val="000000"/>
          <w:sz w:val="24"/>
          <w:szCs w:val="24"/>
        </w:rPr>
        <w:t>十二、保密条款</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 xml:space="preserve">12.1 </w:t>
      </w:r>
      <w:r>
        <w:rPr>
          <w:rFonts w:cs="宋体" w:asciiTheme="minorEastAsia" w:hAnsiTheme="minorEastAsia"/>
          <w:color w:val="000000"/>
          <w:sz w:val="24"/>
          <w:szCs w:val="24"/>
        </w:rPr>
        <w:t>甲方不得以任何方式侵犯该软件产品所涉</w:t>
      </w:r>
      <w:r>
        <w:fldChar w:fldCharType="begin"/>
      </w:r>
      <w:r>
        <w:instrText xml:space="preserve"> HYPERLINK "http://china.findlaw.cn/mdm/mdm_34.html" \t "_blank" </w:instrText>
      </w:r>
      <w:r>
        <w:fldChar w:fldCharType="separate"/>
      </w:r>
      <w:r>
        <w:rPr>
          <w:rFonts w:cs="宋体" w:asciiTheme="minorEastAsia" w:hAnsiTheme="minorEastAsia"/>
          <w:color w:val="000000"/>
          <w:sz w:val="24"/>
          <w:szCs w:val="24"/>
        </w:rPr>
        <w:t>知识产权</w:t>
      </w:r>
      <w:r>
        <w:rPr>
          <w:rFonts w:cs="宋体" w:asciiTheme="minorEastAsia" w:hAnsiTheme="minorEastAsia"/>
          <w:color w:val="000000"/>
          <w:sz w:val="24"/>
          <w:szCs w:val="24"/>
        </w:rPr>
        <w:fldChar w:fldCharType="end"/>
      </w:r>
      <w:r>
        <w:rPr>
          <w:rFonts w:cs="宋体" w:asciiTheme="minorEastAsia" w:hAnsiTheme="minorEastAsia"/>
          <w:color w:val="000000"/>
          <w:sz w:val="24"/>
          <w:szCs w:val="24"/>
        </w:rPr>
        <w:t>，不以任何形式对软件进行解密</w:t>
      </w:r>
      <w:r>
        <w:rPr>
          <w:rFonts w:hint="eastAsia" w:cs="宋体" w:asciiTheme="minorEastAsia" w:hAnsiTheme="minorEastAsia"/>
          <w:color w:val="000000"/>
          <w:sz w:val="24"/>
          <w:szCs w:val="24"/>
        </w:rPr>
        <w:t>，不在甲方以外的第三方做非法复制和扩散。</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 xml:space="preserve">12.2 </w:t>
      </w:r>
      <w:r>
        <w:rPr>
          <w:rFonts w:cs="宋体" w:asciiTheme="minorEastAsia" w:hAnsiTheme="minorEastAsia"/>
          <w:color w:val="000000"/>
          <w:sz w:val="24"/>
          <w:szCs w:val="24"/>
        </w:rPr>
        <w:t>乙方对在本</w:t>
      </w:r>
      <w:r>
        <w:fldChar w:fldCharType="begin"/>
      </w:r>
      <w:r>
        <w:instrText xml:space="preserve"> HYPERLINK "http://china.findlaw.cn/shuofa/shuofadetail/247.html" \t "_blank" </w:instrText>
      </w:r>
      <w:r>
        <w:fldChar w:fldCharType="separate"/>
      </w:r>
      <w:r>
        <w:rPr>
          <w:rFonts w:cs="宋体" w:asciiTheme="minorEastAsia" w:hAnsiTheme="minorEastAsia"/>
          <w:color w:val="000000"/>
          <w:sz w:val="24"/>
          <w:szCs w:val="24"/>
        </w:rPr>
        <w:t>合同签订</w:t>
      </w:r>
      <w:r>
        <w:rPr>
          <w:rFonts w:cs="宋体" w:asciiTheme="minorEastAsia" w:hAnsiTheme="minorEastAsia"/>
          <w:color w:val="000000"/>
          <w:sz w:val="24"/>
          <w:szCs w:val="24"/>
        </w:rPr>
        <w:fldChar w:fldCharType="end"/>
      </w:r>
      <w:r>
        <w:rPr>
          <w:rFonts w:cs="宋体" w:asciiTheme="minorEastAsia" w:hAnsiTheme="minorEastAsia"/>
          <w:color w:val="000000"/>
          <w:sz w:val="24"/>
          <w:szCs w:val="24"/>
        </w:rPr>
        <w:t>及履行过程中知悉的甲方的</w:t>
      </w:r>
      <w:r>
        <w:fldChar w:fldCharType="begin"/>
      </w:r>
      <w:r>
        <w:instrText xml:space="preserve"> HYPERLINK "http://china.findlaw.cn/laodongfa/shangyemimi/" \t "_blank" </w:instrText>
      </w:r>
      <w:r>
        <w:fldChar w:fldCharType="separate"/>
      </w:r>
      <w:r>
        <w:rPr>
          <w:rFonts w:hint="eastAsia" w:cs="宋体" w:asciiTheme="minorEastAsia" w:hAnsiTheme="minorEastAsia"/>
          <w:color w:val="000000"/>
          <w:sz w:val="24"/>
          <w:szCs w:val="24"/>
        </w:rPr>
        <w:t>相关</w:t>
      </w:r>
      <w:r>
        <w:rPr>
          <w:rFonts w:hint="eastAsia" w:cs="宋体" w:asciiTheme="minorEastAsia" w:hAnsiTheme="minorEastAsia"/>
          <w:color w:val="000000"/>
          <w:sz w:val="24"/>
          <w:szCs w:val="24"/>
        </w:rPr>
        <w:fldChar w:fldCharType="end"/>
      </w:r>
      <w:r>
        <w:rPr>
          <w:rFonts w:hint="eastAsia" w:cs="宋体" w:asciiTheme="minorEastAsia" w:hAnsiTheme="minorEastAsia"/>
          <w:color w:val="000000"/>
          <w:sz w:val="24"/>
          <w:szCs w:val="24"/>
        </w:rPr>
        <w:t>保密资料</w:t>
      </w:r>
      <w:r>
        <w:rPr>
          <w:rFonts w:cs="宋体" w:asciiTheme="minorEastAsia" w:hAnsiTheme="minorEastAsia"/>
          <w:color w:val="000000"/>
          <w:sz w:val="24"/>
          <w:szCs w:val="24"/>
        </w:rPr>
        <w:t>负责保密，</w:t>
      </w:r>
      <w:r>
        <w:rPr>
          <w:rFonts w:hint="eastAsia" w:cs="宋体" w:asciiTheme="minorEastAsia" w:hAnsiTheme="minorEastAsia"/>
          <w:color w:val="000000"/>
          <w:sz w:val="24"/>
          <w:szCs w:val="24"/>
        </w:rPr>
        <w:t>未经对方事先书面同意，</w:t>
      </w:r>
      <w:r>
        <w:rPr>
          <w:rFonts w:cs="宋体" w:asciiTheme="minorEastAsia" w:hAnsiTheme="minorEastAsia"/>
          <w:color w:val="000000"/>
          <w:sz w:val="24"/>
          <w:szCs w:val="24"/>
        </w:rPr>
        <w:t>不</w:t>
      </w:r>
      <w:r>
        <w:rPr>
          <w:rFonts w:hint="eastAsia" w:cs="宋体" w:asciiTheme="minorEastAsia" w:hAnsiTheme="minorEastAsia"/>
          <w:color w:val="000000"/>
          <w:sz w:val="24"/>
          <w:szCs w:val="24"/>
        </w:rPr>
        <w:t>得</w:t>
      </w:r>
      <w:r>
        <w:rPr>
          <w:rFonts w:cs="宋体" w:asciiTheme="minorEastAsia" w:hAnsiTheme="minorEastAsia"/>
          <w:color w:val="000000"/>
          <w:sz w:val="24"/>
          <w:szCs w:val="24"/>
        </w:rPr>
        <w:t>向任何第三方进行透露。</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12.3 本合同如有任何部分被视为无效或不可执行，均不影响保密条款的有效性</w:t>
      </w:r>
      <w:r>
        <w:rPr>
          <w:rFonts w:cs="宋体" w:asciiTheme="minorEastAsia" w:hAnsiTheme="minorEastAsia"/>
          <w:color w:val="000000"/>
          <w:sz w:val="24"/>
          <w:szCs w:val="24"/>
        </w:rPr>
        <w:t xml:space="preserve">。 </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12.4 保密责任</w:t>
      </w:r>
      <w:r>
        <w:rPr>
          <w:rFonts w:cs="宋体" w:asciiTheme="minorEastAsia" w:hAnsiTheme="minorEastAsia"/>
          <w:color w:val="000000"/>
          <w:sz w:val="24"/>
          <w:szCs w:val="24"/>
        </w:rPr>
        <w:t>在合同</w:t>
      </w:r>
      <w:r>
        <w:rPr>
          <w:rFonts w:hint="eastAsia" w:cs="宋体" w:asciiTheme="minorEastAsia" w:hAnsiTheme="minorEastAsia"/>
          <w:color w:val="000000"/>
          <w:sz w:val="24"/>
          <w:szCs w:val="24"/>
        </w:rPr>
        <w:t>终止</w:t>
      </w:r>
      <w:r>
        <w:rPr>
          <w:rFonts w:cs="宋体" w:asciiTheme="minorEastAsia" w:hAnsiTheme="minorEastAsia"/>
          <w:color w:val="000000"/>
          <w:sz w:val="24"/>
          <w:szCs w:val="24"/>
        </w:rPr>
        <w:t>后继续生效。</w:t>
      </w:r>
    </w:p>
    <w:p>
      <w:pPr>
        <w:spacing w:line="360" w:lineRule="auto"/>
        <w:ind w:firstLine="482" w:firstLineChars="200"/>
        <w:rPr>
          <w:rFonts w:cs="宋体" w:asciiTheme="minorEastAsia" w:hAnsiTheme="minorEastAsia"/>
          <w:b/>
          <w:color w:val="000000"/>
          <w:sz w:val="24"/>
          <w:szCs w:val="24"/>
        </w:rPr>
      </w:pPr>
      <w:r>
        <w:rPr>
          <w:rFonts w:hint="eastAsia" w:cs="宋体" w:asciiTheme="minorEastAsia" w:hAnsiTheme="minorEastAsia"/>
          <w:b/>
          <w:color w:val="000000"/>
          <w:sz w:val="24"/>
          <w:szCs w:val="24"/>
        </w:rPr>
        <w:t>十三、违约责任</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13.1 如乙方未按合同约定时间供应软件并安装调试完毕交付甲方，每逾期一日，乙方应向甲方支付合同总价款千分之一的违约金，甲方有权在合同价款中相应扣除；逾期超过10日，甲方有权解除本合同，乙方除应返还甲方已支付款项外，还应支付甲方相当于合同总价款20%的违约金，违约金不足以弥补甲方损失的，乙方仍需承担赔偿责任。</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13.2 如乙方提供软件质量不符合合同“2.1”条的描述，乙方应在收到甲方异议通知后5个工作日内完成更换合格软件。因此导致交付时间逾期，按照“13.1”条规定处理。</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13.3 如乙方提供的软件遭受其他任何第三人提出权利主张（含知识产权）和索赔的，乙方应在接到甲方通知后立即负责协调解决并承担相关费用和索赔。由此给甲方造成的损失，由乙方承担，其承担范围包括但不限于：赔偿费、律师费、仲裁费和与仲裁相关的费用。</w:t>
      </w:r>
      <w:r>
        <w:rPr>
          <w:rFonts w:hint="eastAsia"/>
          <w:sz w:val="24"/>
          <w:szCs w:val="24"/>
        </w:rPr>
        <w:t>确属乙方责任的，甲方有权解除合同，并要求乙方支付甲方相当于合同总价款30%的违约金。</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13.4 如乙方未按合同约定履行质保义务或者履行质保义务不合格，每发生一次，乙方应支付甲方相当于合同总价款千分之五。因此导致甲方遭受损失的，乙方应在接到甲方通知后3个工作日内赔偿甲方所遭受的全部损失。</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13.5 甲方逾期付款的，每逾期一天，按照当期逾期付款的万分之五向乙方支付违约金，此项违约金不得超过当期逾期金额的5%。</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13.6 针对任何一方的其他违约行为，违约方应在守约方通知后立即纠正，并赔偿因此导致守约方所遭受的经济损失。</w:t>
      </w:r>
    </w:p>
    <w:p>
      <w:pPr>
        <w:spacing w:line="360" w:lineRule="auto"/>
        <w:ind w:firstLine="482" w:firstLineChars="200"/>
        <w:rPr>
          <w:rFonts w:cs="宋体" w:asciiTheme="minorEastAsia" w:hAnsiTheme="minorEastAsia"/>
          <w:b/>
          <w:color w:val="000000"/>
          <w:sz w:val="24"/>
          <w:szCs w:val="24"/>
        </w:rPr>
      </w:pPr>
      <w:r>
        <w:rPr>
          <w:rFonts w:hint="eastAsia" w:cs="宋体" w:asciiTheme="minorEastAsia" w:hAnsiTheme="minorEastAsia"/>
          <w:b/>
          <w:color w:val="000000"/>
          <w:sz w:val="24"/>
          <w:szCs w:val="24"/>
        </w:rPr>
        <w:t>十四、不可抗力</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14.1 本合同任何一方因受到不可抗力时间影响而未能履行其在本合同下的全部或部分义务，该义务的履行在不可抗力时间妨碍其履行期间应予以中止。</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14.2 声称受到不可抗力事件影响的一方应尽可能在最短的时间内通过书面形式将不可抗力事件的发生通知另一方，并在该不可抗力事件发生后</w:t>
      </w:r>
      <w:r>
        <w:rPr>
          <w:rFonts w:hint="eastAsia" w:cs="宋体" w:asciiTheme="minorEastAsia" w:hAnsiTheme="minorEastAsia"/>
          <w:color w:val="000000"/>
          <w:sz w:val="24"/>
          <w:szCs w:val="24"/>
          <w:u w:val="single"/>
        </w:rPr>
        <w:t xml:space="preserve"> 20  </w:t>
      </w:r>
      <w:r>
        <w:rPr>
          <w:rFonts w:hint="eastAsia" w:cs="宋体" w:asciiTheme="minorEastAsia" w:hAnsiTheme="minorEastAsia"/>
          <w:color w:val="000000"/>
          <w:sz w:val="24"/>
          <w:szCs w:val="24"/>
        </w:rPr>
        <w:t>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14.3 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需为此承担责任。当事人延迟履行后发生不可抗力的，不能免除其责任。</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14.4 本合同所称“不可抗力”是指受影响一方无法预料、不可避免且无法克服，并于本合同签订日之后出现的，是该方对本合同全部或部分的履行在客观上称为不可能或不实际的任何事件。</w:t>
      </w:r>
    </w:p>
    <w:p>
      <w:pPr>
        <w:spacing w:line="360" w:lineRule="auto"/>
        <w:ind w:firstLine="482" w:firstLineChars="200"/>
        <w:rPr>
          <w:rFonts w:cs="宋体" w:asciiTheme="minorEastAsia" w:hAnsiTheme="minorEastAsia"/>
          <w:b/>
          <w:color w:val="000000"/>
          <w:sz w:val="24"/>
          <w:szCs w:val="24"/>
        </w:rPr>
      </w:pPr>
      <w:r>
        <w:rPr>
          <w:rFonts w:hint="eastAsia" w:cs="宋体" w:asciiTheme="minorEastAsia" w:hAnsiTheme="minorEastAsia"/>
          <w:b/>
          <w:color w:val="000000"/>
          <w:sz w:val="24"/>
          <w:szCs w:val="24"/>
        </w:rPr>
        <w:t>十五、争议解决方式</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执行本合同过程中如果发生争议，甲乙双方协商解决。协商不成，提请甲方所在地法院诉讼解决。本合同以及相关争议的解释和解决依据中华人民共和国法律法规。</w:t>
      </w:r>
    </w:p>
    <w:p>
      <w:pPr>
        <w:spacing w:line="360" w:lineRule="auto"/>
        <w:ind w:firstLine="482" w:firstLineChars="200"/>
        <w:rPr>
          <w:rFonts w:cs="宋体" w:asciiTheme="minorEastAsia" w:hAnsiTheme="minorEastAsia"/>
          <w:b/>
          <w:color w:val="000000"/>
          <w:sz w:val="24"/>
          <w:szCs w:val="24"/>
        </w:rPr>
      </w:pPr>
      <w:r>
        <w:rPr>
          <w:rFonts w:hint="eastAsia" w:cs="宋体" w:asciiTheme="minorEastAsia" w:hAnsiTheme="minorEastAsia"/>
          <w:b/>
          <w:color w:val="000000"/>
          <w:sz w:val="24"/>
          <w:szCs w:val="24"/>
        </w:rPr>
        <w:t>十六、廉政条款</w:t>
      </w:r>
    </w:p>
    <w:p>
      <w:pPr>
        <w:spacing w:line="360" w:lineRule="auto"/>
        <w:ind w:firstLine="480" w:firstLineChars="200"/>
        <w:rPr>
          <w:bCs/>
          <w:sz w:val="24"/>
          <w:szCs w:val="24"/>
        </w:rPr>
      </w:pPr>
      <w:r>
        <w:rPr>
          <w:rFonts w:hint="eastAsia"/>
          <w:bCs/>
          <w:sz w:val="24"/>
          <w:szCs w:val="24"/>
        </w:rPr>
        <w:t>16.1 乙方</w:t>
      </w:r>
      <w:r>
        <w:rPr>
          <w:bCs/>
          <w:sz w:val="24"/>
          <w:szCs w:val="24"/>
        </w:rPr>
        <w:t>不得给予</w:t>
      </w:r>
      <w:r>
        <w:rPr>
          <w:rFonts w:hint="eastAsia"/>
          <w:bCs/>
          <w:sz w:val="24"/>
          <w:szCs w:val="24"/>
        </w:rPr>
        <w:t>甲方</w:t>
      </w:r>
      <w:r>
        <w:rPr>
          <w:bCs/>
          <w:sz w:val="24"/>
          <w:szCs w:val="24"/>
        </w:rPr>
        <w:t>相关工作人员回扣、佣金、有价证券、实物或其它形式的利益，否则不论数额大小，</w:t>
      </w:r>
      <w:r>
        <w:rPr>
          <w:rFonts w:hint="eastAsia"/>
          <w:bCs/>
          <w:sz w:val="24"/>
          <w:szCs w:val="24"/>
        </w:rPr>
        <w:t>乙方</w:t>
      </w:r>
      <w:r>
        <w:rPr>
          <w:bCs/>
          <w:sz w:val="24"/>
          <w:szCs w:val="24"/>
        </w:rPr>
        <w:t>应按本合同总额的20%向</w:t>
      </w:r>
      <w:r>
        <w:rPr>
          <w:rFonts w:hint="eastAsia"/>
          <w:bCs/>
          <w:sz w:val="24"/>
          <w:szCs w:val="24"/>
        </w:rPr>
        <w:t>甲方</w:t>
      </w:r>
      <w:r>
        <w:rPr>
          <w:bCs/>
          <w:sz w:val="24"/>
          <w:szCs w:val="24"/>
        </w:rPr>
        <w:t>支付违约金，如合同尚未履行终结，需方有权解除合同。本条款对双方具有永久约束力，不因合同其他条款无效或失效而丧失效力。</w:t>
      </w:r>
    </w:p>
    <w:p>
      <w:pPr>
        <w:spacing w:line="360" w:lineRule="auto"/>
        <w:ind w:firstLine="480" w:firstLineChars="200"/>
        <w:rPr>
          <w:bCs/>
          <w:sz w:val="24"/>
          <w:szCs w:val="24"/>
        </w:rPr>
      </w:pPr>
      <w:r>
        <w:rPr>
          <w:rFonts w:hint="eastAsia"/>
          <w:bCs/>
          <w:sz w:val="24"/>
          <w:szCs w:val="24"/>
        </w:rPr>
        <w:t>16.2 甲方</w:t>
      </w:r>
      <w:r>
        <w:rPr>
          <w:bCs/>
          <w:sz w:val="24"/>
          <w:szCs w:val="24"/>
        </w:rPr>
        <w:t>相关工作人员</w:t>
      </w:r>
      <w:r>
        <w:rPr>
          <w:rFonts w:hint="eastAsia"/>
          <w:bCs/>
          <w:sz w:val="24"/>
          <w:szCs w:val="24"/>
        </w:rPr>
        <w:t>接受乙方</w:t>
      </w:r>
      <w:r>
        <w:rPr>
          <w:bCs/>
          <w:sz w:val="24"/>
          <w:szCs w:val="24"/>
        </w:rPr>
        <w:t>回扣、佣金、有价证券、实物或其它形式的利益</w:t>
      </w:r>
      <w:r>
        <w:rPr>
          <w:rFonts w:hint="eastAsia"/>
          <w:bCs/>
          <w:sz w:val="24"/>
          <w:szCs w:val="24"/>
        </w:rPr>
        <w:t>，甲方将按照有关规定给予相应的处分，涉嫌犯罪的，移交司法机关追究其法律责任。</w:t>
      </w:r>
    </w:p>
    <w:p>
      <w:pPr>
        <w:spacing w:line="360" w:lineRule="auto"/>
        <w:ind w:firstLine="482" w:firstLineChars="200"/>
        <w:rPr>
          <w:rFonts w:cs="宋体" w:asciiTheme="minorEastAsia" w:hAnsiTheme="minorEastAsia"/>
          <w:b/>
          <w:color w:val="000000"/>
          <w:sz w:val="24"/>
          <w:szCs w:val="24"/>
        </w:rPr>
      </w:pPr>
      <w:r>
        <w:rPr>
          <w:rFonts w:hint="eastAsia" w:cs="宋体" w:asciiTheme="minorEastAsia" w:hAnsiTheme="minorEastAsia"/>
          <w:b/>
          <w:color w:val="000000"/>
          <w:sz w:val="24"/>
          <w:szCs w:val="24"/>
        </w:rPr>
        <w:t>十六、其他</w:t>
      </w:r>
    </w:p>
    <w:p>
      <w:pPr>
        <w:widowControl/>
        <w:spacing w:line="360" w:lineRule="auto"/>
        <w:ind w:firstLine="480" w:firstLineChars="200"/>
        <w:rPr>
          <w:sz w:val="24"/>
          <w:szCs w:val="24"/>
        </w:rPr>
      </w:pPr>
      <w:r>
        <w:rPr>
          <w:rFonts w:hint="eastAsia"/>
          <w:sz w:val="24"/>
          <w:szCs w:val="24"/>
        </w:rPr>
        <w:t>16.1 本合同未尽事宜由双方另行协商，协商一致后可签署书面补充协议。补充协议与本合同具有同等法律效力，约定不一致的，以补充协议依约定为准。</w:t>
      </w:r>
    </w:p>
    <w:p>
      <w:pPr>
        <w:widowControl/>
        <w:spacing w:line="360" w:lineRule="auto"/>
        <w:ind w:firstLine="480" w:firstLineChars="200"/>
        <w:rPr>
          <w:sz w:val="24"/>
          <w:szCs w:val="24"/>
        </w:rPr>
      </w:pPr>
      <w:r>
        <w:rPr>
          <w:rFonts w:hint="eastAsia"/>
          <w:sz w:val="24"/>
          <w:szCs w:val="24"/>
        </w:rPr>
        <w:t>16.2 甲乙双方除非事先得到对方的书面同意或本合同另有规定，任何一方不得将本合同项下的任何权利、义务、责任转让给任何第三方。</w:t>
      </w:r>
    </w:p>
    <w:p>
      <w:pPr>
        <w:widowControl/>
        <w:spacing w:line="360" w:lineRule="auto"/>
        <w:ind w:firstLine="480" w:firstLineChars="200"/>
        <w:rPr>
          <w:sz w:val="24"/>
          <w:szCs w:val="24"/>
        </w:rPr>
      </w:pPr>
      <w:r>
        <w:rPr>
          <w:rFonts w:hint="eastAsia"/>
          <w:sz w:val="24"/>
          <w:szCs w:val="24"/>
        </w:rPr>
        <w:t>16.3 未经双方同意，任何一方不得单方面修改本合同，如需变更，由甲乙双方协商一致后签订补充合同予以确认，补充合同与本合同具有同等法律效力。</w:t>
      </w:r>
    </w:p>
    <w:p>
      <w:pPr>
        <w:widowControl/>
        <w:spacing w:line="360" w:lineRule="auto"/>
        <w:ind w:firstLine="480" w:firstLineChars="200"/>
        <w:rPr>
          <w:sz w:val="24"/>
          <w:szCs w:val="24"/>
        </w:rPr>
      </w:pPr>
      <w:r>
        <w:rPr>
          <w:rFonts w:hint="eastAsia"/>
          <w:sz w:val="24"/>
          <w:szCs w:val="24"/>
        </w:rPr>
        <w:t>16.4 合同</w:t>
      </w:r>
      <w:r>
        <w:rPr>
          <w:sz w:val="24"/>
          <w:szCs w:val="24"/>
        </w:rPr>
        <w:t>组成</w:t>
      </w:r>
    </w:p>
    <w:p>
      <w:pPr>
        <w:widowControl/>
        <w:spacing w:line="360" w:lineRule="auto"/>
        <w:ind w:firstLine="480" w:firstLineChars="200"/>
        <w:rPr>
          <w:sz w:val="24"/>
          <w:szCs w:val="24"/>
        </w:rPr>
      </w:pPr>
      <w:r>
        <w:rPr>
          <w:rFonts w:hint="eastAsia"/>
          <w:sz w:val="24"/>
          <w:szCs w:val="24"/>
        </w:rPr>
        <w:t>①本</w:t>
      </w:r>
      <w:r>
        <w:rPr>
          <w:sz w:val="24"/>
          <w:szCs w:val="24"/>
        </w:rPr>
        <w:t>合同协议书</w:t>
      </w:r>
      <w:r>
        <w:rPr>
          <w:rFonts w:hint="eastAsia"/>
          <w:sz w:val="24"/>
          <w:szCs w:val="24"/>
        </w:rPr>
        <w:t>；</w:t>
      </w:r>
    </w:p>
    <w:p>
      <w:pPr>
        <w:widowControl/>
        <w:spacing w:line="360" w:lineRule="auto"/>
        <w:ind w:firstLine="480" w:firstLineChars="200"/>
        <w:rPr>
          <w:sz w:val="24"/>
          <w:szCs w:val="24"/>
        </w:rPr>
      </w:pPr>
      <w:r>
        <w:rPr>
          <w:sz w:val="24"/>
          <w:szCs w:val="24"/>
        </w:rPr>
        <w:t>②</w:t>
      </w:r>
      <w:r>
        <w:rPr>
          <w:rFonts w:hint="eastAsia"/>
          <w:sz w:val="24"/>
          <w:szCs w:val="24"/>
        </w:rPr>
        <w:t>成交</w:t>
      </w:r>
      <w:r>
        <w:rPr>
          <w:sz w:val="24"/>
          <w:szCs w:val="24"/>
        </w:rPr>
        <w:t>通知书</w:t>
      </w:r>
      <w:r>
        <w:rPr>
          <w:rFonts w:hint="eastAsia"/>
          <w:sz w:val="24"/>
          <w:szCs w:val="24"/>
        </w:rPr>
        <w:t>；</w:t>
      </w:r>
    </w:p>
    <w:p>
      <w:pPr>
        <w:widowControl/>
        <w:spacing w:line="360" w:lineRule="auto"/>
        <w:ind w:firstLine="480" w:firstLineChars="200"/>
        <w:rPr>
          <w:sz w:val="24"/>
          <w:szCs w:val="24"/>
        </w:rPr>
      </w:pPr>
      <w:r>
        <w:rPr>
          <w:rFonts w:hint="eastAsia"/>
          <w:sz w:val="24"/>
          <w:szCs w:val="24"/>
        </w:rPr>
        <w:t>③竞争</w:t>
      </w:r>
      <w:r>
        <w:rPr>
          <w:sz w:val="24"/>
          <w:szCs w:val="24"/>
        </w:rPr>
        <w:t>性谈判采购文件及谈判响应文件</w:t>
      </w:r>
      <w:r>
        <w:rPr>
          <w:rFonts w:hint="eastAsia"/>
          <w:sz w:val="24"/>
          <w:szCs w:val="24"/>
        </w:rPr>
        <w:t>；</w:t>
      </w:r>
    </w:p>
    <w:p>
      <w:pPr>
        <w:widowControl/>
        <w:spacing w:line="360" w:lineRule="auto"/>
        <w:ind w:firstLine="480" w:firstLineChars="200"/>
        <w:rPr>
          <w:sz w:val="24"/>
          <w:szCs w:val="24"/>
        </w:rPr>
      </w:pPr>
      <w:r>
        <w:rPr>
          <w:sz w:val="24"/>
          <w:szCs w:val="24"/>
        </w:rPr>
        <w:t>④甲乙双方商定的其他必要文件</w:t>
      </w:r>
      <w:r>
        <w:rPr>
          <w:rFonts w:hint="eastAsia"/>
          <w:sz w:val="24"/>
          <w:szCs w:val="24"/>
        </w:rPr>
        <w:t>。</w:t>
      </w:r>
    </w:p>
    <w:p>
      <w:pPr>
        <w:widowControl/>
        <w:spacing w:line="360" w:lineRule="auto"/>
        <w:ind w:firstLine="480" w:firstLineChars="200"/>
        <w:rPr>
          <w:sz w:val="24"/>
          <w:szCs w:val="24"/>
        </w:rPr>
      </w:pPr>
      <w:r>
        <w:rPr>
          <w:rFonts w:hint="eastAsia"/>
          <w:sz w:val="24"/>
          <w:szCs w:val="24"/>
        </w:rPr>
        <w:t>16.</w:t>
      </w:r>
      <w:r>
        <w:rPr>
          <w:sz w:val="24"/>
          <w:szCs w:val="24"/>
        </w:rPr>
        <w:t>5</w:t>
      </w:r>
      <w:r>
        <w:rPr>
          <w:rFonts w:hint="eastAsia"/>
          <w:sz w:val="24"/>
          <w:szCs w:val="24"/>
        </w:rPr>
        <w:t xml:space="preserve"> 本合同自双方盖章或其法定代表人或授权代表签字后生效。</w:t>
      </w:r>
    </w:p>
    <w:p>
      <w:pPr>
        <w:widowControl/>
        <w:spacing w:line="360" w:lineRule="auto"/>
        <w:ind w:firstLine="480" w:firstLineChars="200"/>
        <w:rPr>
          <w:sz w:val="24"/>
          <w:szCs w:val="24"/>
        </w:rPr>
      </w:pPr>
      <w:r>
        <w:rPr>
          <w:rFonts w:hint="eastAsia"/>
          <w:sz w:val="24"/>
          <w:szCs w:val="24"/>
        </w:rPr>
        <w:t>16.</w:t>
      </w:r>
      <w:r>
        <w:rPr>
          <w:sz w:val="24"/>
          <w:szCs w:val="24"/>
        </w:rPr>
        <w:t>6</w:t>
      </w:r>
      <w:r>
        <w:rPr>
          <w:rFonts w:hint="eastAsia"/>
          <w:sz w:val="24"/>
          <w:szCs w:val="24"/>
        </w:rPr>
        <w:t xml:space="preserve"> 本合同一式肆份，甲方持有叁份，乙方持有壹份，具有同等法律效力。</w:t>
      </w:r>
    </w:p>
    <w:p>
      <w:pPr>
        <w:widowControl/>
        <w:spacing w:line="360" w:lineRule="auto"/>
        <w:ind w:left="760" w:leftChars="200" w:hanging="360" w:hangingChars="150"/>
        <w:rPr>
          <w:sz w:val="24"/>
          <w:szCs w:val="24"/>
        </w:rPr>
      </w:pPr>
    </w:p>
    <w:p>
      <w:pPr>
        <w:widowControl/>
        <w:spacing w:line="360" w:lineRule="auto"/>
        <w:ind w:left="760" w:leftChars="200" w:hanging="360" w:hangingChars="150"/>
        <w:rPr>
          <w:sz w:val="24"/>
          <w:szCs w:val="24"/>
        </w:rPr>
      </w:pPr>
    </w:p>
    <w:p>
      <w:pPr>
        <w:widowControl/>
        <w:spacing w:line="360" w:lineRule="auto"/>
        <w:rPr>
          <w:b/>
          <w:sz w:val="24"/>
          <w:szCs w:val="24"/>
        </w:rPr>
      </w:pPr>
      <w:r>
        <w:rPr>
          <w:rFonts w:hint="eastAsia"/>
          <w:b/>
          <w:sz w:val="24"/>
          <w:szCs w:val="24"/>
        </w:rPr>
        <w:t>以下为签字页，无正文</w:t>
      </w:r>
    </w:p>
    <w:p>
      <w:pPr>
        <w:spacing w:line="360" w:lineRule="auto"/>
        <w:ind w:firstLine="240" w:firstLineChars="100"/>
        <w:rPr>
          <w:sz w:val="24"/>
          <w:szCs w:val="24"/>
        </w:rPr>
      </w:pPr>
      <w:r>
        <w:rPr>
          <w:rFonts w:hint="eastAsia"/>
          <w:sz w:val="24"/>
          <w:szCs w:val="24"/>
        </w:rPr>
        <w:t>甲方：                                 乙方：</w:t>
      </w:r>
    </w:p>
    <w:p>
      <w:pPr>
        <w:spacing w:line="360" w:lineRule="auto"/>
        <w:ind w:firstLine="240" w:firstLineChars="100"/>
        <w:rPr>
          <w:sz w:val="24"/>
          <w:szCs w:val="24"/>
        </w:rPr>
      </w:pPr>
    </w:p>
    <w:p>
      <w:pPr>
        <w:spacing w:line="360" w:lineRule="auto"/>
        <w:ind w:firstLine="240" w:firstLineChars="100"/>
        <w:rPr>
          <w:sz w:val="24"/>
          <w:szCs w:val="24"/>
        </w:rPr>
      </w:pPr>
      <w:r>
        <w:rPr>
          <w:rFonts w:hint="eastAsia"/>
          <w:sz w:val="24"/>
          <w:szCs w:val="24"/>
        </w:rPr>
        <w:t>法定代表人或授权代表：                 法定代表人或授权代表：</w:t>
      </w:r>
    </w:p>
    <w:p>
      <w:pPr>
        <w:spacing w:line="360" w:lineRule="auto"/>
        <w:rPr>
          <w:sz w:val="24"/>
          <w:szCs w:val="24"/>
        </w:rPr>
      </w:pPr>
      <w:r>
        <w:rPr>
          <w:rFonts w:hint="eastAsia"/>
          <w:sz w:val="24"/>
          <w:szCs w:val="24"/>
        </w:rPr>
        <w:t xml:space="preserve">  </w:t>
      </w:r>
    </w:p>
    <w:p>
      <w:pPr>
        <w:spacing w:line="360" w:lineRule="auto"/>
        <w:ind w:firstLine="240" w:firstLineChars="100"/>
        <w:rPr>
          <w:sz w:val="24"/>
          <w:szCs w:val="24"/>
        </w:rPr>
      </w:pPr>
      <w:r>
        <w:rPr>
          <w:rFonts w:hint="eastAsia"/>
          <w:sz w:val="24"/>
          <w:szCs w:val="24"/>
        </w:rPr>
        <w:t>日期：    年  月  日                   日期：    年  月  日</w:t>
      </w:r>
    </w:p>
    <w:p>
      <w:pPr>
        <w:spacing w:line="360" w:lineRule="auto"/>
        <w:rPr>
          <w:sz w:val="24"/>
          <w:szCs w:val="24"/>
        </w:rPr>
      </w:pPr>
      <w:r>
        <w:rPr>
          <w:rFonts w:hint="eastAsia"/>
          <w:sz w:val="24"/>
          <w:szCs w:val="24"/>
        </w:rPr>
        <w:t xml:space="preserve">合同签订地：          </w:t>
      </w:r>
    </w:p>
    <w:p>
      <w:pPr>
        <w:pStyle w:val="2"/>
        <w:spacing w:line="360" w:lineRule="auto"/>
        <w:jc w:val="both"/>
        <w:rPr>
          <w:rFonts w:hAnsi="宋体"/>
        </w:rPr>
      </w:pPr>
      <w:r>
        <w:rPr>
          <w:rFonts w:hint="eastAsia" w:hAnsi="宋体"/>
          <w:lang w:val="en-US" w:eastAsia="zh-CN"/>
        </w:rPr>
        <w:t xml:space="preserve">      </w:t>
      </w:r>
      <w:bookmarkStart w:id="82" w:name="_Toc6506"/>
      <w:r>
        <w:rPr>
          <w:rFonts w:hint="eastAsia" w:hAnsi="宋体"/>
        </w:rPr>
        <w:t>第四章  谈判响应文件格式</w:t>
      </w:r>
      <w:bookmarkEnd w:id="81"/>
      <w:bookmarkEnd w:id="82"/>
    </w:p>
    <w:p>
      <w:pPr>
        <w:widowControl/>
        <w:rPr>
          <w:rFonts w:hAnsi="宋体"/>
          <w:b/>
          <w:sz w:val="24"/>
          <w:szCs w:val="28"/>
          <w:u w:val="single"/>
        </w:rPr>
      </w:pPr>
      <w:r>
        <w:rPr>
          <w:rFonts w:hint="eastAsia" w:hAnsi="宋体"/>
          <w:b/>
          <w:sz w:val="24"/>
          <w:szCs w:val="28"/>
          <w:u w:val="single"/>
        </w:rPr>
        <w:t>注：请谈判供应商按照以下文件的要求格式、内容，顺序制作谈判响应文件，并请编制目录及页码，否则可能将影响对谈判响应文件的评价。</w:t>
      </w:r>
    </w:p>
    <w:p>
      <w:pPr>
        <w:pStyle w:val="3"/>
        <w:spacing w:before="0" w:after="0" w:line="240" w:lineRule="auto"/>
        <w:rPr>
          <w:rFonts w:ascii="宋体" w:hAnsi="宋体" w:eastAsia="宋体"/>
        </w:rPr>
      </w:pPr>
      <w:bookmarkStart w:id="83" w:name="_Toc279410006"/>
      <w:bookmarkStart w:id="84" w:name="_Toc153360200"/>
      <w:bookmarkStart w:id="85" w:name="_Toc2063"/>
      <w:r>
        <w:rPr>
          <w:rFonts w:hint="eastAsia" w:ascii="宋体" w:hAnsi="宋体" w:eastAsia="宋体"/>
        </w:rPr>
        <w:t>一、谈判函、谈判报价及项目相关文件</w:t>
      </w:r>
      <w:bookmarkEnd w:id="83"/>
      <w:bookmarkEnd w:id="84"/>
      <w:bookmarkEnd w:id="85"/>
    </w:p>
    <w:p>
      <w:pPr>
        <w:pStyle w:val="4"/>
        <w:autoSpaceDE/>
        <w:autoSpaceDN/>
        <w:adjustRightInd/>
        <w:spacing w:before="0" w:after="0" w:line="240" w:lineRule="auto"/>
        <w:rPr>
          <w:rFonts w:hAnsi="宋体"/>
          <w:kern w:val="2"/>
          <w:sz w:val="30"/>
          <w:szCs w:val="30"/>
        </w:rPr>
      </w:pPr>
      <w:bookmarkStart w:id="86" w:name="_Toc279410007"/>
      <w:bookmarkStart w:id="87" w:name="_Toc19457"/>
      <w:r>
        <w:rPr>
          <w:rFonts w:hint="eastAsia" w:hAnsi="宋体"/>
          <w:kern w:val="2"/>
          <w:sz w:val="30"/>
          <w:szCs w:val="30"/>
        </w:rPr>
        <w:t>1.竞争性谈判函</w:t>
      </w:r>
      <w:bookmarkEnd w:id="86"/>
      <w:bookmarkEnd w:id="87"/>
    </w:p>
    <w:p>
      <w:pPr>
        <w:widowControl/>
        <w:spacing w:before="19" w:line="360" w:lineRule="auto"/>
        <w:rPr>
          <w:rFonts w:hAnsi="宋体"/>
          <w:b/>
          <w:sz w:val="24"/>
          <w:szCs w:val="24"/>
        </w:rPr>
      </w:pPr>
      <w:r>
        <w:rPr>
          <w:rFonts w:hint="eastAsia" w:hAnsi="宋体"/>
          <w:sz w:val="24"/>
          <w:szCs w:val="24"/>
        </w:rPr>
        <w:t>南京审计大学：</w:t>
      </w:r>
    </w:p>
    <w:p>
      <w:pPr>
        <w:spacing w:line="360" w:lineRule="auto"/>
        <w:ind w:firstLine="480" w:firstLineChars="200"/>
        <w:rPr>
          <w:rFonts w:hAnsi="宋体"/>
          <w:sz w:val="24"/>
          <w:szCs w:val="24"/>
        </w:rPr>
      </w:pPr>
      <w:r>
        <w:rPr>
          <w:rFonts w:hint="eastAsia" w:hAnsi="宋体"/>
          <w:sz w:val="24"/>
          <w:szCs w:val="24"/>
        </w:rPr>
        <w:t>你方</w:t>
      </w:r>
      <w:r>
        <w:rPr>
          <w:rFonts w:hint="eastAsia" w:hAnsi="宋体"/>
          <w:sz w:val="24"/>
          <w:szCs w:val="24"/>
          <w:u w:val="single"/>
        </w:rPr>
        <w:t xml:space="preserve">   </w:t>
      </w:r>
      <w:r>
        <w:rPr>
          <w:rFonts w:hint="eastAsia" w:hAnsi="宋体"/>
          <w:sz w:val="24"/>
          <w:szCs w:val="24"/>
        </w:rPr>
        <w:t>号谈判采购文件（包括更正公告，如果有的话）收悉，我方经详细审阅和研究，现决定参加竞争性谈判。</w:t>
      </w:r>
    </w:p>
    <w:p>
      <w:pPr>
        <w:widowControl/>
        <w:snapToGrid w:val="0"/>
        <w:spacing w:before="19" w:line="360" w:lineRule="auto"/>
        <w:ind w:firstLine="555"/>
        <w:rPr>
          <w:rFonts w:hAnsi="宋体"/>
          <w:sz w:val="24"/>
          <w:szCs w:val="24"/>
        </w:rPr>
      </w:pPr>
      <w:r>
        <w:rPr>
          <w:rFonts w:hint="eastAsia" w:hAnsi="宋体"/>
          <w:sz w:val="24"/>
          <w:szCs w:val="24"/>
        </w:rPr>
        <w:t>1．我方郑重承诺：我方是符合《政府采购法》第22条规定的供应商，并严格遵守《政府采购法》第77条的规定，本谈判响应文件中提供的所有材料均是真实有效的。</w:t>
      </w:r>
    </w:p>
    <w:p>
      <w:pPr>
        <w:widowControl/>
        <w:spacing w:line="360" w:lineRule="auto"/>
        <w:ind w:firstLine="480" w:firstLineChars="200"/>
        <w:rPr>
          <w:rFonts w:hAnsi="宋体"/>
          <w:sz w:val="24"/>
          <w:szCs w:val="24"/>
        </w:rPr>
      </w:pPr>
      <w:r>
        <w:rPr>
          <w:rFonts w:hint="eastAsia" w:hAnsi="宋体"/>
          <w:sz w:val="24"/>
          <w:szCs w:val="24"/>
        </w:rPr>
        <w:t>2．我方接受谈判采购文件的所有的条款和规定。</w:t>
      </w:r>
    </w:p>
    <w:p>
      <w:pPr>
        <w:spacing w:line="360" w:lineRule="auto"/>
        <w:rPr>
          <w:rFonts w:hAnsi="宋体"/>
          <w:sz w:val="24"/>
          <w:szCs w:val="24"/>
        </w:rPr>
      </w:pPr>
      <w:r>
        <w:rPr>
          <w:rFonts w:hint="eastAsia" w:hAnsi="宋体"/>
          <w:sz w:val="24"/>
          <w:szCs w:val="24"/>
        </w:rPr>
        <w:t xml:space="preserve">    3．我方同意按照谈判采购文件的规定，本谈判响应文件的有效期为从谈判响应文件递交截止时间起计算的九十天，在此期间，本谈判响应文件将始终对我方具有约束力，并可随时被接受。如果我方成交，本谈判响应文件在此期间之后将继续保持有效。</w:t>
      </w:r>
    </w:p>
    <w:p>
      <w:pPr>
        <w:spacing w:line="360" w:lineRule="auto"/>
        <w:rPr>
          <w:rFonts w:hAnsi="宋体"/>
          <w:sz w:val="24"/>
          <w:szCs w:val="24"/>
        </w:rPr>
      </w:pPr>
      <w:r>
        <w:rPr>
          <w:rFonts w:hint="eastAsia" w:hAnsi="宋体"/>
          <w:sz w:val="24"/>
          <w:szCs w:val="24"/>
        </w:rPr>
        <w:t xml:space="preserve">    4．我方同意提供采购人要求的有关本次竞争性谈判的所有资料。</w:t>
      </w:r>
    </w:p>
    <w:p>
      <w:pPr>
        <w:spacing w:line="360" w:lineRule="auto"/>
        <w:rPr>
          <w:rFonts w:hAnsi="宋体"/>
          <w:sz w:val="24"/>
          <w:szCs w:val="24"/>
        </w:rPr>
      </w:pPr>
      <w:r>
        <w:rPr>
          <w:rFonts w:hint="eastAsia" w:hAnsi="宋体"/>
          <w:sz w:val="24"/>
          <w:szCs w:val="24"/>
        </w:rPr>
        <w:t xml:space="preserve">    5．我方理解，你们无义务必须接受竞争性谈判最低的报价，并有权拒绝所有的谈判响应文件和报价。同时也理解你方不承担我们本次谈判的费用。</w:t>
      </w:r>
    </w:p>
    <w:p>
      <w:pPr>
        <w:spacing w:line="360" w:lineRule="auto"/>
        <w:rPr>
          <w:rFonts w:hAnsi="宋体"/>
          <w:sz w:val="24"/>
          <w:szCs w:val="24"/>
        </w:rPr>
      </w:pPr>
      <w:r>
        <w:rPr>
          <w:rFonts w:hint="eastAsia" w:hAnsi="宋体"/>
          <w:sz w:val="24"/>
          <w:szCs w:val="24"/>
        </w:rPr>
        <w:t xml:space="preserve">    6．如果我方成交，为执行合同，我方将按谈判供应商须知有关要求提供必要的履约保证。</w:t>
      </w:r>
    </w:p>
    <w:p>
      <w:pPr>
        <w:snapToGrid w:val="0"/>
        <w:spacing w:line="360" w:lineRule="auto"/>
        <w:rPr>
          <w:rFonts w:hAnsi="宋体"/>
          <w:sz w:val="24"/>
          <w:szCs w:val="24"/>
        </w:rPr>
      </w:pPr>
    </w:p>
    <w:p>
      <w:pPr>
        <w:snapToGrid w:val="0"/>
        <w:spacing w:line="360" w:lineRule="auto"/>
        <w:rPr>
          <w:rFonts w:hAnsi="宋体"/>
          <w:sz w:val="24"/>
          <w:szCs w:val="24"/>
        </w:rPr>
      </w:pPr>
      <w:r>
        <w:rPr>
          <w:rFonts w:hint="eastAsia" w:hAnsi="宋体"/>
          <w:sz w:val="24"/>
          <w:szCs w:val="24"/>
        </w:rPr>
        <w:t>供应商名称：</w:t>
      </w:r>
      <w:r>
        <w:rPr>
          <w:rFonts w:hint="eastAsia" w:hAnsi="宋体"/>
          <w:sz w:val="24"/>
          <w:szCs w:val="24"/>
          <w:u w:val="single"/>
        </w:rPr>
        <w:t xml:space="preserve">              （公章 ）</w:t>
      </w:r>
    </w:p>
    <w:p>
      <w:pPr>
        <w:snapToGrid w:val="0"/>
        <w:spacing w:line="360" w:lineRule="auto"/>
        <w:rPr>
          <w:rFonts w:hAnsi="宋体"/>
          <w:sz w:val="24"/>
          <w:szCs w:val="24"/>
          <w:u w:val="single"/>
        </w:rPr>
      </w:pPr>
      <w:r>
        <w:rPr>
          <w:rFonts w:hint="eastAsia" w:hAnsi="宋体"/>
          <w:sz w:val="24"/>
          <w:szCs w:val="24"/>
        </w:rPr>
        <w:t>地址：</w:t>
      </w:r>
      <w:r>
        <w:rPr>
          <w:rFonts w:hint="eastAsia" w:hAnsi="宋体"/>
          <w:sz w:val="24"/>
          <w:szCs w:val="24"/>
          <w:u w:val="single"/>
        </w:rPr>
        <w:t xml:space="preserve">      </w:t>
      </w:r>
      <w:r>
        <w:rPr>
          <w:rFonts w:hint="eastAsia" w:hAnsi="宋体"/>
          <w:sz w:val="24"/>
          <w:szCs w:val="24"/>
        </w:rPr>
        <w:t>邮编：</w:t>
      </w:r>
      <w:r>
        <w:rPr>
          <w:rFonts w:hint="eastAsia" w:hAnsi="宋体"/>
          <w:sz w:val="24"/>
          <w:szCs w:val="24"/>
          <w:u w:val="single"/>
        </w:rPr>
        <w:t xml:space="preserve">      </w:t>
      </w:r>
    </w:p>
    <w:p>
      <w:pPr>
        <w:snapToGrid w:val="0"/>
        <w:spacing w:line="360" w:lineRule="auto"/>
        <w:rPr>
          <w:rFonts w:hAnsi="宋体"/>
          <w:sz w:val="24"/>
          <w:szCs w:val="24"/>
          <w:u w:val="single"/>
        </w:rPr>
      </w:pPr>
      <w:r>
        <w:rPr>
          <w:rFonts w:hint="eastAsia" w:hAnsi="宋体"/>
          <w:sz w:val="24"/>
          <w:szCs w:val="24"/>
        </w:rPr>
        <w:t>电话：</w:t>
      </w:r>
      <w:r>
        <w:rPr>
          <w:rFonts w:hint="eastAsia" w:hAnsi="宋体"/>
          <w:sz w:val="24"/>
          <w:szCs w:val="24"/>
          <w:u w:val="single"/>
        </w:rPr>
        <w:t xml:space="preserve">      </w:t>
      </w:r>
      <w:r>
        <w:rPr>
          <w:rFonts w:hint="eastAsia" w:hAnsi="宋体"/>
          <w:sz w:val="24"/>
          <w:szCs w:val="24"/>
        </w:rPr>
        <w:t>传真：</w:t>
      </w:r>
      <w:r>
        <w:rPr>
          <w:rFonts w:hint="eastAsia" w:hAnsi="宋体"/>
          <w:sz w:val="24"/>
          <w:szCs w:val="24"/>
          <w:u w:val="single"/>
        </w:rPr>
        <w:t xml:space="preserve">      </w:t>
      </w:r>
    </w:p>
    <w:p>
      <w:pPr>
        <w:snapToGrid w:val="0"/>
        <w:spacing w:line="360" w:lineRule="auto"/>
        <w:rPr>
          <w:rFonts w:hAnsi="宋体"/>
          <w:sz w:val="24"/>
          <w:szCs w:val="24"/>
          <w:u w:val="single"/>
        </w:rPr>
      </w:pPr>
      <w:r>
        <w:rPr>
          <w:rFonts w:hint="eastAsia" w:hAnsi="宋体"/>
          <w:sz w:val="24"/>
          <w:szCs w:val="24"/>
        </w:rPr>
        <w:t>授权代表签字：</w:t>
      </w:r>
      <w:r>
        <w:rPr>
          <w:rFonts w:hint="eastAsia" w:hAnsi="宋体"/>
          <w:sz w:val="24"/>
          <w:szCs w:val="24"/>
          <w:u w:val="single"/>
        </w:rPr>
        <w:t xml:space="preserve">      </w:t>
      </w:r>
    </w:p>
    <w:p>
      <w:pPr>
        <w:snapToGrid w:val="0"/>
        <w:spacing w:line="360" w:lineRule="auto"/>
        <w:rPr>
          <w:rFonts w:hAnsi="宋体"/>
          <w:sz w:val="24"/>
          <w:szCs w:val="24"/>
          <w:u w:val="single"/>
        </w:rPr>
      </w:pPr>
      <w:r>
        <w:rPr>
          <w:rFonts w:hint="eastAsia" w:hAnsi="宋体"/>
          <w:sz w:val="24"/>
          <w:szCs w:val="24"/>
        </w:rPr>
        <w:t>职务：</w:t>
      </w:r>
      <w:r>
        <w:rPr>
          <w:rFonts w:hint="eastAsia" w:hAnsi="宋体"/>
          <w:sz w:val="24"/>
          <w:szCs w:val="24"/>
          <w:u w:val="single"/>
        </w:rPr>
        <w:t xml:space="preserve">      </w:t>
      </w:r>
    </w:p>
    <w:p>
      <w:pPr>
        <w:snapToGrid w:val="0"/>
        <w:spacing w:line="360" w:lineRule="auto"/>
        <w:rPr>
          <w:rFonts w:hAnsi="宋体"/>
          <w:sz w:val="24"/>
          <w:szCs w:val="24"/>
          <w:u w:val="single"/>
        </w:rPr>
      </w:pPr>
      <w:r>
        <w:rPr>
          <w:rFonts w:hint="eastAsia" w:hAnsi="宋体"/>
          <w:sz w:val="24"/>
          <w:szCs w:val="24"/>
        </w:rPr>
        <w:t>日期：</w:t>
      </w:r>
      <w:r>
        <w:rPr>
          <w:rFonts w:hint="eastAsia" w:hAnsi="宋体"/>
          <w:sz w:val="24"/>
          <w:szCs w:val="24"/>
          <w:u w:val="single"/>
        </w:rPr>
        <w:t xml:space="preserve">      </w:t>
      </w:r>
    </w:p>
    <w:p>
      <w:pPr>
        <w:pStyle w:val="4"/>
        <w:spacing w:line="360" w:lineRule="auto"/>
        <w:rPr>
          <w:rFonts w:hAnsi="宋体"/>
          <w:kern w:val="2"/>
          <w:sz w:val="30"/>
          <w:szCs w:val="30"/>
        </w:rPr>
      </w:pPr>
      <w:bookmarkStart w:id="88" w:name="_Toc279410008"/>
      <w:bookmarkStart w:id="89" w:name="_Toc29308"/>
      <w:r>
        <w:rPr>
          <w:rFonts w:hint="eastAsia" w:hAnsi="宋体"/>
        </w:rPr>
        <w:t>2.报价一览表</w:t>
      </w:r>
      <w:bookmarkEnd w:id="88"/>
      <w:bookmarkEnd w:id="89"/>
    </w:p>
    <w:tbl>
      <w:tblPr>
        <w:tblStyle w:val="45"/>
        <w:tblW w:w="85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2361"/>
        <w:gridCol w:w="2361"/>
        <w:gridCol w:w="2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1451" w:type="dxa"/>
            <w:vAlign w:val="center"/>
          </w:tcPr>
          <w:p>
            <w:pPr>
              <w:widowControl/>
              <w:topLinePunct/>
              <w:snapToGrid w:val="0"/>
              <w:spacing w:before="4" w:line="360" w:lineRule="auto"/>
              <w:jc w:val="center"/>
              <w:rPr>
                <w:rFonts w:hAnsi="宋体" w:cs="宋体"/>
                <w:sz w:val="24"/>
                <w:szCs w:val="24"/>
              </w:rPr>
            </w:pPr>
            <w:r>
              <w:rPr>
                <w:rFonts w:hint="eastAsia" w:hAnsi="宋体" w:cs="宋体"/>
                <w:sz w:val="24"/>
                <w:szCs w:val="24"/>
              </w:rPr>
              <w:t>项目</w:t>
            </w:r>
          </w:p>
        </w:tc>
        <w:tc>
          <w:tcPr>
            <w:tcW w:w="7083" w:type="dxa"/>
            <w:gridSpan w:val="3"/>
            <w:vAlign w:val="center"/>
          </w:tcPr>
          <w:p>
            <w:pPr>
              <w:topLinePunct/>
              <w:snapToGrid w:val="0"/>
              <w:spacing w:line="360" w:lineRule="auto"/>
              <w:jc w:val="center"/>
              <w:rPr>
                <w:rFonts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1451" w:type="dxa"/>
            <w:vAlign w:val="center"/>
          </w:tcPr>
          <w:p>
            <w:pPr>
              <w:widowControl/>
              <w:topLinePunct/>
              <w:snapToGrid w:val="0"/>
              <w:spacing w:before="4" w:line="360" w:lineRule="auto"/>
              <w:jc w:val="center"/>
              <w:rPr>
                <w:rFonts w:hAnsi="宋体" w:cs="宋体"/>
                <w:sz w:val="24"/>
                <w:szCs w:val="24"/>
              </w:rPr>
            </w:pPr>
            <w:r>
              <w:rPr>
                <w:rFonts w:hint="eastAsia" w:hAnsi="宋体" w:cs="宋体"/>
                <w:sz w:val="24"/>
                <w:szCs w:val="24"/>
              </w:rPr>
              <w:t>分包</w:t>
            </w:r>
          </w:p>
        </w:tc>
        <w:tc>
          <w:tcPr>
            <w:tcW w:w="7083" w:type="dxa"/>
            <w:gridSpan w:val="3"/>
            <w:vAlign w:val="center"/>
          </w:tcPr>
          <w:p>
            <w:pPr>
              <w:topLinePunct/>
              <w:snapToGrid w:val="0"/>
              <w:spacing w:line="360" w:lineRule="auto"/>
              <w:jc w:val="center"/>
              <w:rPr>
                <w:rFonts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71" w:hRule="atLeast"/>
          <w:jc w:val="center"/>
        </w:trPr>
        <w:tc>
          <w:tcPr>
            <w:tcW w:w="1451" w:type="dxa"/>
            <w:vAlign w:val="center"/>
          </w:tcPr>
          <w:p>
            <w:pPr>
              <w:widowControl/>
              <w:topLinePunct/>
              <w:snapToGrid w:val="0"/>
              <w:spacing w:before="4" w:line="360" w:lineRule="auto"/>
              <w:jc w:val="center"/>
              <w:rPr>
                <w:rFonts w:hAnsi="宋体" w:cs="宋体"/>
                <w:sz w:val="24"/>
                <w:szCs w:val="24"/>
              </w:rPr>
            </w:pPr>
            <w:r>
              <w:rPr>
                <w:rFonts w:hint="eastAsia" w:hAnsi="宋体" w:cs="宋体"/>
                <w:sz w:val="24"/>
                <w:szCs w:val="24"/>
              </w:rPr>
              <w:t>谈判</w:t>
            </w:r>
          </w:p>
          <w:p>
            <w:pPr>
              <w:widowControl/>
              <w:topLinePunct/>
              <w:snapToGrid w:val="0"/>
              <w:spacing w:before="4" w:line="360" w:lineRule="auto"/>
              <w:jc w:val="center"/>
              <w:rPr>
                <w:rFonts w:hAnsi="宋体" w:cs="宋体"/>
                <w:sz w:val="24"/>
                <w:szCs w:val="24"/>
              </w:rPr>
            </w:pPr>
            <w:r>
              <w:rPr>
                <w:rFonts w:hint="eastAsia" w:hAnsi="宋体" w:cs="宋体"/>
                <w:sz w:val="24"/>
                <w:szCs w:val="24"/>
              </w:rPr>
              <w:t>报价</w:t>
            </w:r>
          </w:p>
          <w:p>
            <w:pPr>
              <w:widowControl/>
              <w:topLinePunct/>
              <w:snapToGrid w:val="0"/>
              <w:spacing w:before="4" w:line="360" w:lineRule="auto"/>
              <w:jc w:val="center"/>
              <w:rPr>
                <w:rFonts w:hAnsi="宋体" w:cs="宋体"/>
                <w:sz w:val="24"/>
                <w:szCs w:val="24"/>
              </w:rPr>
            </w:pPr>
            <w:r>
              <w:rPr>
                <w:rFonts w:hint="eastAsia" w:hAnsi="宋体" w:cs="宋体"/>
                <w:sz w:val="24"/>
                <w:szCs w:val="24"/>
              </w:rPr>
              <w:t>总计</w:t>
            </w:r>
          </w:p>
        </w:tc>
        <w:tc>
          <w:tcPr>
            <w:tcW w:w="7083" w:type="dxa"/>
            <w:gridSpan w:val="3"/>
            <w:vAlign w:val="center"/>
          </w:tcPr>
          <w:p>
            <w:pPr>
              <w:topLinePunct/>
              <w:snapToGrid w:val="0"/>
              <w:spacing w:line="360" w:lineRule="auto"/>
              <w:rPr>
                <w:rFonts w:hAnsi="宋体" w:cs="宋体"/>
                <w:bCs/>
                <w:sz w:val="24"/>
                <w:szCs w:val="24"/>
              </w:rPr>
            </w:pPr>
            <w:r>
              <w:rPr>
                <w:rFonts w:hint="eastAsia" w:hAnsi="宋体" w:cs="宋体"/>
                <w:bCs/>
                <w:sz w:val="24"/>
                <w:szCs w:val="24"/>
              </w:rPr>
              <w:t>人民币（大写）</w:t>
            </w:r>
            <w:r>
              <w:rPr>
                <w:rFonts w:hint="eastAsia" w:hAnsi="宋体"/>
                <w:sz w:val="24"/>
                <w:szCs w:val="24"/>
                <w:u w:val="single"/>
              </w:rPr>
              <w:t xml:space="preserve">   </w:t>
            </w:r>
            <w:r>
              <w:rPr>
                <w:rFonts w:hint="eastAsia" w:hAnsi="宋体" w:cs="宋体"/>
                <w:bCs/>
                <w:sz w:val="24"/>
                <w:szCs w:val="24"/>
              </w:rPr>
              <w:t>拾</w:t>
            </w:r>
            <w:r>
              <w:rPr>
                <w:rFonts w:hint="eastAsia" w:hAnsi="宋体"/>
                <w:sz w:val="24"/>
                <w:szCs w:val="24"/>
                <w:u w:val="single"/>
              </w:rPr>
              <w:t xml:space="preserve">   </w:t>
            </w:r>
            <w:r>
              <w:rPr>
                <w:rFonts w:hint="eastAsia" w:hAnsi="宋体" w:cs="宋体"/>
                <w:bCs/>
                <w:sz w:val="24"/>
                <w:szCs w:val="24"/>
              </w:rPr>
              <w:t>万</w:t>
            </w:r>
            <w:r>
              <w:rPr>
                <w:rFonts w:hint="eastAsia" w:hAnsi="宋体"/>
                <w:sz w:val="24"/>
                <w:szCs w:val="24"/>
                <w:u w:val="single"/>
              </w:rPr>
              <w:t xml:space="preserve">   </w:t>
            </w:r>
            <w:r>
              <w:rPr>
                <w:rFonts w:hint="eastAsia" w:hAnsi="宋体" w:cs="宋体"/>
                <w:bCs/>
                <w:sz w:val="24"/>
                <w:szCs w:val="24"/>
              </w:rPr>
              <w:t>仟</w:t>
            </w:r>
            <w:r>
              <w:rPr>
                <w:rFonts w:hint="eastAsia" w:hAnsi="宋体"/>
                <w:sz w:val="24"/>
                <w:szCs w:val="24"/>
                <w:u w:val="single"/>
              </w:rPr>
              <w:t xml:space="preserve">   </w:t>
            </w:r>
            <w:r>
              <w:rPr>
                <w:rFonts w:hint="eastAsia" w:hAnsi="宋体" w:cs="宋体"/>
                <w:bCs/>
                <w:sz w:val="24"/>
                <w:szCs w:val="24"/>
              </w:rPr>
              <w:t>佰</w:t>
            </w:r>
            <w:r>
              <w:rPr>
                <w:rFonts w:hint="eastAsia" w:hAnsi="宋体"/>
                <w:sz w:val="24"/>
                <w:szCs w:val="24"/>
                <w:u w:val="single"/>
              </w:rPr>
              <w:t xml:space="preserve">   </w:t>
            </w:r>
            <w:r>
              <w:rPr>
                <w:rFonts w:hint="eastAsia" w:hAnsi="宋体" w:cs="宋体"/>
                <w:bCs/>
                <w:sz w:val="24"/>
                <w:szCs w:val="24"/>
              </w:rPr>
              <w:t>拾</w:t>
            </w:r>
            <w:r>
              <w:rPr>
                <w:rFonts w:hint="eastAsia" w:hAnsi="宋体"/>
                <w:sz w:val="24"/>
                <w:szCs w:val="24"/>
                <w:u w:val="single"/>
              </w:rPr>
              <w:t xml:space="preserve">   </w:t>
            </w:r>
            <w:r>
              <w:rPr>
                <w:rFonts w:hint="eastAsia" w:hAnsi="宋体" w:cs="宋体"/>
                <w:bCs/>
                <w:sz w:val="24"/>
                <w:szCs w:val="24"/>
              </w:rPr>
              <w:t>元整</w:t>
            </w:r>
          </w:p>
          <w:p>
            <w:pPr>
              <w:topLinePunct/>
              <w:snapToGrid w:val="0"/>
              <w:spacing w:line="360" w:lineRule="auto"/>
              <w:rPr>
                <w:rFonts w:hAnsi="宋体" w:cs="宋体"/>
                <w:bCs/>
                <w:sz w:val="24"/>
                <w:szCs w:val="24"/>
              </w:rPr>
            </w:pPr>
            <w:r>
              <w:rPr>
                <w:rFonts w:hint="eastAsia" w:hAnsi="宋体" w:cs="宋体"/>
                <w:bCs/>
                <w:sz w:val="24"/>
                <w:szCs w:val="24"/>
              </w:rPr>
              <w:t>（¥</w:t>
            </w:r>
            <w:r>
              <w:rPr>
                <w:rFonts w:hint="eastAsia" w:hAnsi="宋体"/>
                <w:sz w:val="24"/>
                <w:szCs w:val="24"/>
                <w:u w:val="single"/>
              </w:rPr>
              <w:t xml:space="preserve">               </w:t>
            </w:r>
            <w:r>
              <w:rPr>
                <w:rFonts w:hint="eastAsia" w:hAnsi="宋体" w:cs="宋体"/>
                <w:bCs/>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jc w:val="center"/>
        </w:trPr>
        <w:tc>
          <w:tcPr>
            <w:tcW w:w="1451" w:type="dxa"/>
            <w:vAlign w:val="center"/>
          </w:tcPr>
          <w:p>
            <w:pPr>
              <w:widowControl/>
              <w:topLinePunct/>
              <w:snapToGrid w:val="0"/>
              <w:spacing w:before="4" w:line="360" w:lineRule="auto"/>
              <w:jc w:val="center"/>
              <w:rPr>
                <w:rFonts w:hAnsi="宋体" w:cs="宋体"/>
                <w:sz w:val="24"/>
                <w:szCs w:val="24"/>
              </w:rPr>
            </w:pPr>
            <w:r>
              <w:rPr>
                <w:rFonts w:hint="eastAsia" w:hAnsi="宋体" w:cs="宋体"/>
                <w:sz w:val="24"/>
                <w:szCs w:val="24"/>
              </w:rPr>
              <w:t>交付期</w:t>
            </w:r>
          </w:p>
        </w:tc>
        <w:tc>
          <w:tcPr>
            <w:tcW w:w="2361" w:type="dxa"/>
            <w:vAlign w:val="center"/>
          </w:tcPr>
          <w:p>
            <w:pPr>
              <w:topLinePunct/>
              <w:snapToGrid w:val="0"/>
              <w:spacing w:line="360" w:lineRule="auto"/>
              <w:jc w:val="center"/>
              <w:rPr>
                <w:rFonts w:hAnsi="宋体" w:cs="宋体"/>
                <w:bCs/>
                <w:sz w:val="24"/>
                <w:szCs w:val="24"/>
              </w:rPr>
            </w:pPr>
          </w:p>
        </w:tc>
        <w:tc>
          <w:tcPr>
            <w:tcW w:w="2361" w:type="dxa"/>
            <w:vAlign w:val="center"/>
          </w:tcPr>
          <w:p>
            <w:pPr>
              <w:widowControl/>
              <w:topLinePunct/>
              <w:snapToGrid w:val="0"/>
              <w:spacing w:before="4" w:line="360" w:lineRule="auto"/>
              <w:jc w:val="center"/>
              <w:rPr>
                <w:rFonts w:hAnsi="宋体" w:cs="宋体"/>
                <w:bCs/>
                <w:sz w:val="24"/>
                <w:szCs w:val="24"/>
              </w:rPr>
            </w:pPr>
            <w:r>
              <w:rPr>
                <w:rFonts w:hint="eastAsia" w:hAnsi="宋体" w:cs="宋体"/>
                <w:sz w:val="24"/>
                <w:szCs w:val="24"/>
              </w:rPr>
              <w:t>免费</w:t>
            </w:r>
            <w:r>
              <w:rPr>
                <w:rFonts w:hAnsi="宋体" w:cs="宋体"/>
                <w:sz w:val="24"/>
                <w:szCs w:val="24"/>
              </w:rPr>
              <w:t>维保期</w:t>
            </w:r>
          </w:p>
        </w:tc>
        <w:tc>
          <w:tcPr>
            <w:tcW w:w="2361" w:type="dxa"/>
            <w:vAlign w:val="center"/>
          </w:tcPr>
          <w:p>
            <w:pPr>
              <w:topLinePunct/>
              <w:snapToGrid w:val="0"/>
              <w:spacing w:line="360" w:lineRule="auto"/>
              <w:jc w:val="center"/>
              <w:rPr>
                <w:rFonts w:hAnsi="宋体" w:cs="宋体"/>
                <w:bCs/>
                <w:sz w:val="24"/>
                <w:szCs w:val="24"/>
              </w:rPr>
            </w:pPr>
          </w:p>
        </w:tc>
      </w:tr>
    </w:tbl>
    <w:p>
      <w:pPr>
        <w:widowControl/>
        <w:topLinePunct/>
        <w:spacing w:before="4" w:line="360" w:lineRule="auto"/>
        <w:rPr>
          <w:rFonts w:hAnsi="宋体"/>
          <w:b/>
          <w:bCs/>
          <w:sz w:val="24"/>
          <w:szCs w:val="28"/>
          <w:u w:val="single"/>
        </w:rPr>
      </w:pPr>
      <w:r>
        <w:rPr>
          <w:rFonts w:hint="eastAsia" w:hAnsi="宋体"/>
          <w:b/>
          <w:bCs/>
          <w:sz w:val="24"/>
          <w:szCs w:val="28"/>
        </w:rPr>
        <w:t>谈判供应商（公章 ）</w:t>
      </w:r>
    </w:p>
    <w:p>
      <w:pPr>
        <w:widowControl/>
        <w:topLinePunct/>
        <w:spacing w:before="4" w:line="360" w:lineRule="auto"/>
        <w:rPr>
          <w:rFonts w:hAnsi="宋体"/>
          <w:b/>
          <w:bCs/>
          <w:sz w:val="24"/>
          <w:szCs w:val="28"/>
        </w:rPr>
      </w:pPr>
      <w:r>
        <w:rPr>
          <w:rFonts w:hint="eastAsia" w:hAnsi="宋体"/>
          <w:b/>
          <w:bCs/>
          <w:sz w:val="24"/>
          <w:szCs w:val="28"/>
        </w:rPr>
        <w:t xml:space="preserve">授权代表（签字） </w:t>
      </w:r>
    </w:p>
    <w:p>
      <w:pPr>
        <w:widowControl/>
        <w:topLinePunct/>
        <w:snapToGrid w:val="0"/>
        <w:spacing w:before="4" w:line="360" w:lineRule="auto"/>
        <w:rPr>
          <w:rFonts w:hAnsi="宋体"/>
          <w:bCs/>
          <w:sz w:val="21"/>
          <w:szCs w:val="21"/>
        </w:rPr>
      </w:pPr>
      <w:r>
        <w:rPr>
          <w:rFonts w:hint="eastAsia" w:hAnsi="宋体"/>
          <w:bCs/>
          <w:sz w:val="24"/>
          <w:szCs w:val="24"/>
        </w:rPr>
        <w:t>注</w:t>
      </w:r>
      <w:r>
        <w:rPr>
          <w:rFonts w:hint="eastAsia" w:hAnsi="宋体"/>
          <w:bCs/>
          <w:sz w:val="21"/>
          <w:szCs w:val="21"/>
        </w:rPr>
        <w:t>:（1）谈判报价应包括竞争性谈判采购文件所规定的范围的全部内容。</w:t>
      </w:r>
    </w:p>
    <w:p>
      <w:pPr>
        <w:widowControl/>
        <w:tabs>
          <w:tab w:val="left" w:pos="360"/>
        </w:tabs>
        <w:snapToGrid w:val="0"/>
        <w:spacing w:before="67" w:line="360" w:lineRule="auto"/>
        <w:ind w:left="-58" w:leftChars="-29" w:right="-360" w:firstLine="384" w:firstLineChars="183"/>
        <w:rPr>
          <w:rFonts w:hAnsi="宋体"/>
          <w:sz w:val="21"/>
          <w:szCs w:val="21"/>
        </w:rPr>
      </w:pPr>
      <w:r>
        <w:rPr>
          <w:rFonts w:hint="eastAsia" w:hAnsi="宋体"/>
          <w:bCs/>
          <w:sz w:val="21"/>
          <w:szCs w:val="21"/>
        </w:rPr>
        <w:t>（2）报价一览表格式不得自行改动。</w:t>
      </w:r>
    </w:p>
    <w:p>
      <w:pPr>
        <w:pStyle w:val="4"/>
        <w:spacing w:line="360" w:lineRule="auto"/>
        <w:rPr>
          <w:rFonts w:hAnsi="宋体"/>
          <w:sz w:val="30"/>
        </w:rPr>
      </w:pPr>
      <w:bookmarkStart w:id="90" w:name="_Toc279410009"/>
      <w:bookmarkStart w:id="91" w:name="_Toc196890851"/>
      <w:bookmarkStart w:id="92" w:name="_Toc213839796"/>
      <w:bookmarkStart w:id="93" w:name="_Toc584"/>
      <w:r>
        <w:rPr>
          <w:rFonts w:hint="eastAsia" w:hAnsi="宋体"/>
          <w:sz w:val="30"/>
        </w:rPr>
        <w:t>3</w:t>
      </w:r>
      <w:r>
        <w:rPr>
          <w:rFonts w:hAnsi="宋体"/>
          <w:sz w:val="30"/>
        </w:rPr>
        <w:t>.</w:t>
      </w:r>
      <w:r>
        <w:rPr>
          <w:rFonts w:hint="eastAsia" w:hAnsi="宋体"/>
          <w:sz w:val="30"/>
        </w:rPr>
        <w:t>谈判</w:t>
      </w:r>
      <w:r>
        <w:rPr>
          <w:rFonts w:hAnsi="宋体"/>
          <w:sz w:val="30"/>
        </w:rPr>
        <w:t>报价明细表</w:t>
      </w:r>
      <w:bookmarkEnd w:id="90"/>
      <w:bookmarkEnd w:id="91"/>
      <w:bookmarkEnd w:id="92"/>
      <w:bookmarkEnd w:id="93"/>
    </w:p>
    <w:tbl>
      <w:tblPr>
        <w:tblStyle w:val="45"/>
        <w:tblpPr w:leftFromText="180" w:rightFromText="180" w:vertAnchor="text" w:tblpXSpec="center" w:tblpY="217"/>
        <w:tblOverlap w:val="never"/>
        <w:tblW w:w="92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111"/>
        <w:gridCol w:w="1482"/>
        <w:gridCol w:w="1482"/>
        <w:gridCol w:w="864"/>
        <w:gridCol w:w="864"/>
        <w:gridCol w:w="762"/>
        <w:gridCol w:w="911"/>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712" w:type="dxa"/>
            <w:vAlign w:val="center"/>
          </w:tcPr>
          <w:p>
            <w:pPr>
              <w:spacing w:line="360" w:lineRule="auto"/>
              <w:jc w:val="center"/>
              <w:rPr>
                <w:rFonts w:hAnsi="宋体"/>
                <w:sz w:val="24"/>
                <w:szCs w:val="24"/>
              </w:rPr>
            </w:pPr>
            <w:r>
              <w:rPr>
                <w:rFonts w:hint="eastAsia" w:hAnsi="宋体"/>
                <w:sz w:val="24"/>
                <w:szCs w:val="24"/>
              </w:rPr>
              <w:t>序号</w:t>
            </w:r>
          </w:p>
        </w:tc>
        <w:tc>
          <w:tcPr>
            <w:tcW w:w="1111" w:type="dxa"/>
            <w:vAlign w:val="center"/>
          </w:tcPr>
          <w:p>
            <w:pPr>
              <w:spacing w:line="360" w:lineRule="auto"/>
              <w:jc w:val="center"/>
              <w:rPr>
                <w:rFonts w:hAnsi="宋体"/>
                <w:sz w:val="24"/>
                <w:szCs w:val="24"/>
              </w:rPr>
            </w:pPr>
            <w:r>
              <w:rPr>
                <w:rFonts w:hint="eastAsia" w:hAnsi="宋体"/>
                <w:sz w:val="24"/>
                <w:szCs w:val="24"/>
              </w:rPr>
              <w:t>货物</w:t>
            </w:r>
          </w:p>
          <w:p>
            <w:pPr>
              <w:spacing w:line="360" w:lineRule="auto"/>
              <w:jc w:val="center"/>
              <w:rPr>
                <w:rFonts w:hAnsi="宋体"/>
                <w:sz w:val="24"/>
                <w:szCs w:val="24"/>
              </w:rPr>
            </w:pPr>
            <w:r>
              <w:rPr>
                <w:rFonts w:hint="eastAsia" w:hAnsi="宋体"/>
                <w:sz w:val="24"/>
                <w:szCs w:val="24"/>
              </w:rPr>
              <w:t>名称</w:t>
            </w:r>
          </w:p>
        </w:tc>
        <w:tc>
          <w:tcPr>
            <w:tcW w:w="1482" w:type="dxa"/>
            <w:vAlign w:val="center"/>
          </w:tcPr>
          <w:p>
            <w:pPr>
              <w:spacing w:line="360" w:lineRule="auto"/>
              <w:jc w:val="center"/>
              <w:rPr>
                <w:rFonts w:hAnsi="宋体"/>
                <w:sz w:val="24"/>
                <w:szCs w:val="24"/>
              </w:rPr>
            </w:pPr>
            <w:r>
              <w:rPr>
                <w:rFonts w:hint="eastAsia" w:hAnsi="宋体"/>
                <w:sz w:val="24"/>
                <w:szCs w:val="24"/>
              </w:rPr>
              <w:t>品牌</w:t>
            </w:r>
          </w:p>
        </w:tc>
        <w:tc>
          <w:tcPr>
            <w:tcW w:w="1482" w:type="dxa"/>
            <w:vAlign w:val="center"/>
          </w:tcPr>
          <w:p>
            <w:pPr>
              <w:spacing w:line="360" w:lineRule="auto"/>
              <w:jc w:val="center"/>
              <w:rPr>
                <w:rFonts w:hAnsi="宋体"/>
                <w:sz w:val="24"/>
                <w:szCs w:val="24"/>
              </w:rPr>
            </w:pPr>
            <w:r>
              <w:rPr>
                <w:rFonts w:hint="eastAsia" w:hAnsi="宋体"/>
                <w:sz w:val="24"/>
                <w:szCs w:val="24"/>
              </w:rPr>
              <w:t>规格型号</w:t>
            </w:r>
          </w:p>
        </w:tc>
        <w:tc>
          <w:tcPr>
            <w:tcW w:w="864" w:type="dxa"/>
            <w:vAlign w:val="center"/>
          </w:tcPr>
          <w:p>
            <w:pPr>
              <w:spacing w:line="360" w:lineRule="auto"/>
              <w:jc w:val="center"/>
              <w:rPr>
                <w:rFonts w:hAnsi="宋体"/>
                <w:sz w:val="24"/>
                <w:szCs w:val="24"/>
              </w:rPr>
            </w:pPr>
            <w:r>
              <w:rPr>
                <w:rFonts w:hint="eastAsia" w:hAnsi="宋体"/>
                <w:sz w:val="24"/>
                <w:szCs w:val="24"/>
              </w:rPr>
              <w:t>单位</w:t>
            </w:r>
          </w:p>
        </w:tc>
        <w:tc>
          <w:tcPr>
            <w:tcW w:w="864" w:type="dxa"/>
            <w:vAlign w:val="center"/>
          </w:tcPr>
          <w:p>
            <w:pPr>
              <w:spacing w:line="360" w:lineRule="auto"/>
              <w:jc w:val="center"/>
              <w:rPr>
                <w:rFonts w:hAnsi="宋体"/>
                <w:sz w:val="24"/>
                <w:szCs w:val="24"/>
              </w:rPr>
            </w:pPr>
            <w:r>
              <w:rPr>
                <w:rFonts w:hint="eastAsia" w:hAnsi="宋体"/>
                <w:sz w:val="24"/>
                <w:szCs w:val="24"/>
              </w:rPr>
              <w:t>数量</w:t>
            </w:r>
          </w:p>
        </w:tc>
        <w:tc>
          <w:tcPr>
            <w:tcW w:w="762" w:type="dxa"/>
            <w:vAlign w:val="center"/>
          </w:tcPr>
          <w:p>
            <w:pPr>
              <w:spacing w:line="360" w:lineRule="auto"/>
              <w:jc w:val="center"/>
              <w:rPr>
                <w:rFonts w:hAnsi="宋体"/>
                <w:sz w:val="24"/>
                <w:szCs w:val="24"/>
              </w:rPr>
            </w:pPr>
            <w:r>
              <w:rPr>
                <w:rFonts w:hint="eastAsia" w:hAnsi="宋体"/>
                <w:sz w:val="24"/>
                <w:szCs w:val="24"/>
              </w:rPr>
              <w:t>单价</w:t>
            </w:r>
          </w:p>
        </w:tc>
        <w:tc>
          <w:tcPr>
            <w:tcW w:w="911" w:type="dxa"/>
            <w:vAlign w:val="center"/>
          </w:tcPr>
          <w:p>
            <w:pPr>
              <w:spacing w:line="360" w:lineRule="auto"/>
              <w:jc w:val="center"/>
              <w:rPr>
                <w:rFonts w:hAnsi="宋体"/>
                <w:sz w:val="24"/>
                <w:szCs w:val="24"/>
              </w:rPr>
            </w:pPr>
            <w:r>
              <w:rPr>
                <w:rFonts w:hint="eastAsia" w:hAnsi="宋体"/>
                <w:sz w:val="24"/>
                <w:szCs w:val="24"/>
              </w:rPr>
              <w:t>总 价</w:t>
            </w:r>
          </w:p>
        </w:tc>
        <w:tc>
          <w:tcPr>
            <w:tcW w:w="1073" w:type="dxa"/>
            <w:vAlign w:val="center"/>
          </w:tcPr>
          <w:p>
            <w:pPr>
              <w:spacing w:line="360" w:lineRule="auto"/>
              <w:jc w:val="center"/>
              <w:rPr>
                <w:rFonts w:hAnsi="宋体"/>
                <w:sz w:val="24"/>
                <w:szCs w:val="24"/>
              </w:rPr>
            </w:pPr>
            <w:r>
              <w:rPr>
                <w:rFonts w:hint="eastAsia"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712" w:type="dxa"/>
            <w:vAlign w:val="center"/>
          </w:tcPr>
          <w:p>
            <w:pPr>
              <w:spacing w:line="360" w:lineRule="auto"/>
              <w:jc w:val="center"/>
              <w:rPr>
                <w:rFonts w:hAnsi="宋体"/>
                <w:sz w:val="24"/>
                <w:szCs w:val="24"/>
              </w:rPr>
            </w:pPr>
            <w:r>
              <w:rPr>
                <w:rFonts w:hint="eastAsia" w:hAnsi="宋体"/>
                <w:sz w:val="24"/>
                <w:szCs w:val="24"/>
              </w:rPr>
              <w:t>1</w:t>
            </w:r>
          </w:p>
        </w:tc>
        <w:tc>
          <w:tcPr>
            <w:tcW w:w="1111" w:type="dxa"/>
            <w:vAlign w:val="center"/>
          </w:tcPr>
          <w:p>
            <w:pPr>
              <w:spacing w:line="360" w:lineRule="auto"/>
              <w:jc w:val="center"/>
              <w:rPr>
                <w:rFonts w:hAnsi="宋体"/>
                <w:sz w:val="24"/>
                <w:szCs w:val="24"/>
              </w:rPr>
            </w:pPr>
          </w:p>
        </w:tc>
        <w:tc>
          <w:tcPr>
            <w:tcW w:w="1482" w:type="dxa"/>
          </w:tcPr>
          <w:p>
            <w:pPr>
              <w:spacing w:line="360" w:lineRule="auto"/>
              <w:jc w:val="center"/>
              <w:rPr>
                <w:rFonts w:hAnsi="宋体"/>
                <w:sz w:val="24"/>
                <w:szCs w:val="24"/>
              </w:rPr>
            </w:pPr>
          </w:p>
        </w:tc>
        <w:tc>
          <w:tcPr>
            <w:tcW w:w="1482" w:type="dxa"/>
            <w:vAlign w:val="center"/>
          </w:tcPr>
          <w:p>
            <w:pPr>
              <w:spacing w:line="360" w:lineRule="auto"/>
              <w:jc w:val="center"/>
              <w:rPr>
                <w:rFonts w:hAnsi="宋体"/>
                <w:sz w:val="24"/>
                <w:szCs w:val="24"/>
              </w:rPr>
            </w:pPr>
          </w:p>
        </w:tc>
        <w:tc>
          <w:tcPr>
            <w:tcW w:w="864" w:type="dxa"/>
            <w:vAlign w:val="center"/>
          </w:tcPr>
          <w:p>
            <w:pPr>
              <w:spacing w:line="360" w:lineRule="auto"/>
              <w:jc w:val="center"/>
              <w:rPr>
                <w:rFonts w:hAnsi="宋体"/>
                <w:sz w:val="24"/>
                <w:szCs w:val="24"/>
              </w:rPr>
            </w:pPr>
          </w:p>
        </w:tc>
        <w:tc>
          <w:tcPr>
            <w:tcW w:w="864" w:type="dxa"/>
            <w:vAlign w:val="center"/>
          </w:tcPr>
          <w:p>
            <w:pPr>
              <w:spacing w:line="360" w:lineRule="auto"/>
              <w:jc w:val="center"/>
              <w:rPr>
                <w:rFonts w:hAnsi="宋体"/>
                <w:sz w:val="24"/>
                <w:szCs w:val="24"/>
              </w:rPr>
            </w:pPr>
          </w:p>
        </w:tc>
        <w:tc>
          <w:tcPr>
            <w:tcW w:w="762" w:type="dxa"/>
            <w:vAlign w:val="center"/>
          </w:tcPr>
          <w:p>
            <w:pPr>
              <w:spacing w:line="360" w:lineRule="auto"/>
              <w:jc w:val="center"/>
              <w:rPr>
                <w:rFonts w:hAnsi="宋体"/>
                <w:sz w:val="24"/>
                <w:szCs w:val="24"/>
              </w:rPr>
            </w:pPr>
          </w:p>
        </w:tc>
        <w:tc>
          <w:tcPr>
            <w:tcW w:w="911" w:type="dxa"/>
            <w:vAlign w:val="center"/>
          </w:tcPr>
          <w:p>
            <w:pPr>
              <w:spacing w:line="360" w:lineRule="auto"/>
              <w:jc w:val="center"/>
              <w:rPr>
                <w:rFonts w:hAnsi="宋体"/>
                <w:sz w:val="24"/>
                <w:szCs w:val="24"/>
              </w:rPr>
            </w:pPr>
          </w:p>
        </w:tc>
        <w:tc>
          <w:tcPr>
            <w:tcW w:w="1073" w:type="dxa"/>
          </w:tcPr>
          <w:p>
            <w:pPr>
              <w:spacing w:line="36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712" w:type="dxa"/>
            <w:vAlign w:val="center"/>
          </w:tcPr>
          <w:p>
            <w:pPr>
              <w:spacing w:line="360" w:lineRule="auto"/>
              <w:jc w:val="center"/>
              <w:rPr>
                <w:rFonts w:hAnsi="宋体"/>
                <w:sz w:val="24"/>
                <w:szCs w:val="24"/>
              </w:rPr>
            </w:pPr>
            <w:r>
              <w:rPr>
                <w:rFonts w:hint="eastAsia" w:hAnsi="宋体"/>
                <w:sz w:val="24"/>
                <w:szCs w:val="24"/>
              </w:rPr>
              <w:t>2</w:t>
            </w:r>
          </w:p>
        </w:tc>
        <w:tc>
          <w:tcPr>
            <w:tcW w:w="1111" w:type="dxa"/>
            <w:vAlign w:val="center"/>
          </w:tcPr>
          <w:p>
            <w:pPr>
              <w:spacing w:line="360" w:lineRule="auto"/>
              <w:jc w:val="center"/>
              <w:rPr>
                <w:rFonts w:hAnsi="宋体"/>
                <w:sz w:val="24"/>
                <w:szCs w:val="24"/>
              </w:rPr>
            </w:pPr>
          </w:p>
        </w:tc>
        <w:tc>
          <w:tcPr>
            <w:tcW w:w="1482" w:type="dxa"/>
          </w:tcPr>
          <w:p>
            <w:pPr>
              <w:spacing w:line="360" w:lineRule="auto"/>
              <w:jc w:val="center"/>
              <w:rPr>
                <w:rFonts w:hAnsi="宋体"/>
                <w:sz w:val="24"/>
                <w:szCs w:val="24"/>
              </w:rPr>
            </w:pPr>
          </w:p>
        </w:tc>
        <w:tc>
          <w:tcPr>
            <w:tcW w:w="1482" w:type="dxa"/>
            <w:vAlign w:val="center"/>
          </w:tcPr>
          <w:p>
            <w:pPr>
              <w:spacing w:line="360" w:lineRule="auto"/>
              <w:jc w:val="center"/>
              <w:rPr>
                <w:rFonts w:hAnsi="宋体"/>
                <w:sz w:val="24"/>
                <w:szCs w:val="24"/>
              </w:rPr>
            </w:pPr>
          </w:p>
        </w:tc>
        <w:tc>
          <w:tcPr>
            <w:tcW w:w="864" w:type="dxa"/>
            <w:vAlign w:val="center"/>
          </w:tcPr>
          <w:p>
            <w:pPr>
              <w:spacing w:line="360" w:lineRule="auto"/>
              <w:jc w:val="center"/>
              <w:rPr>
                <w:rFonts w:hAnsi="宋体"/>
                <w:sz w:val="24"/>
                <w:szCs w:val="24"/>
              </w:rPr>
            </w:pPr>
          </w:p>
        </w:tc>
        <w:tc>
          <w:tcPr>
            <w:tcW w:w="864" w:type="dxa"/>
            <w:vAlign w:val="center"/>
          </w:tcPr>
          <w:p>
            <w:pPr>
              <w:spacing w:line="360" w:lineRule="auto"/>
              <w:jc w:val="center"/>
              <w:rPr>
                <w:rFonts w:hAnsi="宋体"/>
                <w:sz w:val="24"/>
                <w:szCs w:val="24"/>
              </w:rPr>
            </w:pPr>
          </w:p>
        </w:tc>
        <w:tc>
          <w:tcPr>
            <w:tcW w:w="762" w:type="dxa"/>
            <w:vAlign w:val="center"/>
          </w:tcPr>
          <w:p>
            <w:pPr>
              <w:spacing w:line="360" w:lineRule="auto"/>
              <w:jc w:val="center"/>
              <w:rPr>
                <w:rFonts w:hAnsi="宋体"/>
                <w:sz w:val="24"/>
                <w:szCs w:val="24"/>
              </w:rPr>
            </w:pPr>
          </w:p>
        </w:tc>
        <w:tc>
          <w:tcPr>
            <w:tcW w:w="911" w:type="dxa"/>
            <w:vAlign w:val="center"/>
          </w:tcPr>
          <w:p>
            <w:pPr>
              <w:spacing w:line="360" w:lineRule="auto"/>
              <w:jc w:val="center"/>
              <w:rPr>
                <w:rFonts w:hAnsi="宋体"/>
                <w:sz w:val="24"/>
                <w:szCs w:val="24"/>
              </w:rPr>
            </w:pPr>
          </w:p>
        </w:tc>
        <w:tc>
          <w:tcPr>
            <w:tcW w:w="1073" w:type="dxa"/>
          </w:tcPr>
          <w:p>
            <w:pPr>
              <w:spacing w:line="36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712" w:type="dxa"/>
            <w:vAlign w:val="center"/>
          </w:tcPr>
          <w:p>
            <w:pPr>
              <w:spacing w:line="360" w:lineRule="auto"/>
              <w:jc w:val="center"/>
              <w:rPr>
                <w:rFonts w:hAnsi="宋体"/>
                <w:sz w:val="24"/>
                <w:szCs w:val="24"/>
              </w:rPr>
            </w:pPr>
            <w:r>
              <w:rPr>
                <w:rFonts w:hint="eastAsia" w:hAnsi="宋体"/>
                <w:sz w:val="24"/>
                <w:szCs w:val="24"/>
              </w:rPr>
              <w:t>3</w:t>
            </w:r>
          </w:p>
        </w:tc>
        <w:tc>
          <w:tcPr>
            <w:tcW w:w="1111" w:type="dxa"/>
            <w:vAlign w:val="center"/>
          </w:tcPr>
          <w:p>
            <w:pPr>
              <w:spacing w:line="360" w:lineRule="auto"/>
              <w:jc w:val="center"/>
              <w:rPr>
                <w:rFonts w:hAnsi="宋体"/>
                <w:sz w:val="24"/>
                <w:szCs w:val="24"/>
              </w:rPr>
            </w:pPr>
          </w:p>
        </w:tc>
        <w:tc>
          <w:tcPr>
            <w:tcW w:w="1482" w:type="dxa"/>
          </w:tcPr>
          <w:p>
            <w:pPr>
              <w:spacing w:line="360" w:lineRule="auto"/>
              <w:jc w:val="center"/>
              <w:rPr>
                <w:rFonts w:hAnsi="宋体"/>
                <w:sz w:val="24"/>
                <w:szCs w:val="24"/>
              </w:rPr>
            </w:pPr>
          </w:p>
        </w:tc>
        <w:tc>
          <w:tcPr>
            <w:tcW w:w="1482" w:type="dxa"/>
            <w:vAlign w:val="center"/>
          </w:tcPr>
          <w:p>
            <w:pPr>
              <w:spacing w:line="360" w:lineRule="auto"/>
              <w:jc w:val="center"/>
              <w:rPr>
                <w:rFonts w:hAnsi="宋体"/>
                <w:sz w:val="24"/>
                <w:szCs w:val="24"/>
              </w:rPr>
            </w:pPr>
          </w:p>
        </w:tc>
        <w:tc>
          <w:tcPr>
            <w:tcW w:w="864" w:type="dxa"/>
            <w:vAlign w:val="center"/>
          </w:tcPr>
          <w:p>
            <w:pPr>
              <w:spacing w:line="360" w:lineRule="auto"/>
              <w:jc w:val="center"/>
              <w:rPr>
                <w:rFonts w:hAnsi="宋体"/>
                <w:sz w:val="24"/>
                <w:szCs w:val="24"/>
              </w:rPr>
            </w:pPr>
          </w:p>
        </w:tc>
        <w:tc>
          <w:tcPr>
            <w:tcW w:w="864" w:type="dxa"/>
            <w:vAlign w:val="center"/>
          </w:tcPr>
          <w:p>
            <w:pPr>
              <w:spacing w:line="360" w:lineRule="auto"/>
              <w:jc w:val="center"/>
              <w:rPr>
                <w:rFonts w:hAnsi="宋体"/>
                <w:sz w:val="24"/>
                <w:szCs w:val="24"/>
              </w:rPr>
            </w:pPr>
          </w:p>
        </w:tc>
        <w:tc>
          <w:tcPr>
            <w:tcW w:w="762" w:type="dxa"/>
            <w:vAlign w:val="center"/>
          </w:tcPr>
          <w:p>
            <w:pPr>
              <w:spacing w:line="360" w:lineRule="auto"/>
              <w:jc w:val="center"/>
              <w:rPr>
                <w:rFonts w:hAnsi="宋体"/>
                <w:sz w:val="24"/>
                <w:szCs w:val="24"/>
              </w:rPr>
            </w:pPr>
          </w:p>
        </w:tc>
        <w:tc>
          <w:tcPr>
            <w:tcW w:w="911" w:type="dxa"/>
            <w:vAlign w:val="center"/>
          </w:tcPr>
          <w:p>
            <w:pPr>
              <w:spacing w:line="360" w:lineRule="auto"/>
              <w:jc w:val="center"/>
              <w:rPr>
                <w:rFonts w:hAnsi="宋体"/>
                <w:sz w:val="24"/>
                <w:szCs w:val="24"/>
              </w:rPr>
            </w:pPr>
          </w:p>
        </w:tc>
        <w:tc>
          <w:tcPr>
            <w:tcW w:w="1073" w:type="dxa"/>
          </w:tcPr>
          <w:p>
            <w:pPr>
              <w:spacing w:line="36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712" w:type="dxa"/>
            <w:vAlign w:val="center"/>
          </w:tcPr>
          <w:p>
            <w:pPr>
              <w:spacing w:line="360" w:lineRule="auto"/>
              <w:jc w:val="center"/>
              <w:rPr>
                <w:rFonts w:hAnsi="宋体"/>
                <w:sz w:val="24"/>
                <w:szCs w:val="24"/>
              </w:rPr>
            </w:pPr>
            <w:r>
              <w:rPr>
                <w:rFonts w:hint="eastAsia" w:hAnsi="宋体"/>
                <w:sz w:val="24"/>
                <w:szCs w:val="24"/>
              </w:rPr>
              <w:t>4</w:t>
            </w:r>
          </w:p>
        </w:tc>
        <w:tc>
          <w:tcPr>
            <w:tcW w:w="1111" w:type="dxa"/>
            <w:vAlign w:val="center"/>
          </w:tcPr>
          <w:p>
            <w:pPr>
              <w:spacing w:line="360" w:lineRule="auto"/>
              <w:jc w:val="center"/>
              <w:rPr>
                <w:rFonts w:hAnsi="宋体"/>
                <w:sz w:val="24"/>
                <w:szCs w:val="24"/>
              </w:rPr>
            </w:pPr>
          </w:p>
        </w:tc>
        <w:tc>
          <w:tcPr>
            <w:tcW w:w="1482" w:type="dxa"/>
          </w:tcPr>
          <w:p>
            <w:pPr>
              <w:spacing w:line="360" w:lineRule="auto"/>
              <w:jc w:val="center"/>
              <w:rPr>
                <w:rFonts w:hAnsi="宋体"/>
                <w:sz w:val="24"/>
                <w:szCs w:val="24"/>
              </w:rPr>
            </w:pPr>
          </w:p>
        </w:tc>
        <w:tc>
          <w:tcPr>
            <w:tcW w:w="1482" w:type="dxa"/>
            <w:vAlign w:val="center"/>
          </w:tcPr>
          <w:p>
            <w:pPr>
              <w:spacing w:line="360" w:lineRule="auto"/>
              <w:jc w:val="center"/>
              <w:rPr>
                <w:rFonts w:hAnsi="宋体"/>
                <w:sz w:val="24"/>
                <w:szCs w:val="24"/>
              </w:rPr>
            </w:pPr>
          </w:p>
        </w:tc>
        <w:tc>
          <w:tcPr>
            <w:tcW w:w="864" w:type="dxa"/>
            <w:vAlign w:val="center"/>
          </w:tcPr>
          <w:p>
            <w:pPr>
              <w:spacing w:line="360" w:lineRule="auto"/>
              <w:jc w:val="center"/>
              <w:rPr>
                <w:rFonts w:hAnsi="宋体"/>
                <w:sz w:val="24"/>
                <w:szCs w:val="24"/>
              </w:rPr>
            </w:pPr>
          </w:p>
        </w:tc>
        <w:tc>
          <w:tcPr>
            <w:tcW w:w="864" w:type="dxa"/>
            <w:vAlign w:val="center"/>
          </w:tcPr>
          <w:p>
            <w:pPr>
              <w:spacing w:line="360" w:lineRule="auto"/>
              <w:jc w:val="center"/>
              <w:rPr>
                <w:rFonts w:hAnsi="宋体"/>
                <w:sz w:val="24"/>
                <w:szCs w:val="24"/>
              </w:rPr>
            </w:pPr>
          </w:p>
        </w:tc>
        <w:tc>
          <w:tcPr>
            <w:tcW w:w="762" w:type="dxa"/>
            <w:vAlign w:val="center"/>
          </w:tcPr>
          <w:p>
            <w:pPr>
              <w:spacing w:line="360" w:lineRule="auto"/>
              <w:jc w:val="center"/>
              <w:rPr>
                <w:rFonts w:hAnsi="宋体"/>
                <w:sz w:val="24"/>
                <w:szCs w:val="24"/>
              </w:rPr>
            </w:pPr>
          </w:p>
        </w:tc>
        <w:tc>
          <w:tcPr>
            <w:tcW w:w="911" w:type="dxa"/>
            <w:vAlign w:val="center"/>
          </w:tcPr>
          <w:p>
            <w:pPr>
              <w:spacing w:line="360" w:lineRule="auto"/>
              <w:jc w:val="center"/>
              <w:rPr>
                <w:rFonts w:hAnsi="宋体"/>
                <w:sz w:val="24"/>
                <w:szCs w:val="24"/>
              </w:rPr>
            </w:pPr>
          </w:p>
        </w:tc>
        <w:tc>
          <w:tcPr>
            <w:tcW w:w="1073" w:type="dxa"/>
          </w:tcPr>
          <w:p>
            <w:pPr>
              <w:spacing w:line="36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4" w:hRule="atLeast"/>
        </w:trPr>
        <w:tc>
          <w:tcPr>
            <w:tcW w:w="712" w:type="dxa"/>
            <w:vAlign w:val="center"/>
          </w:tcPr>
          <w:p>
            <w:pPr>
              <w:spacing w:line="360" w:lineRule="auto"/>
              <w:jc w:val="center"/>
              <w:rPr>
                <w:rFonts w:hAnsi="宋体"/>
                <w:sz w:val="24"/>
                <w:szCs w:val="24"/>
              </w:rPr>
            </w:pPr>
            <w:r>
              <w:rPr>
                <w:rFonts w:hint="eastAsia" w:hAnsi="宋体"/>
                <w:sz w:val="24"/>
                <w:szCs w:val="24"/>
              </w:rPr>
              <w:t>5</w:t>
            </w:r>
          </w:p>
        </w:tc>
        <w:tc>
          <w:tcPr>
            <w:tcW w:w="1111" w:type="dxa"/>
            <w:vAlign w:val="center"/>
          </w:tcPr>
          <w:p>
            <w:pPr>
              <w:spacing w:line="360" w:lineRule="auto"/>
              <w:jc w:val="center"/>
              <w:rPr>
                <w:rFonts w:hAnsi="宋体"/>
                <w:sz w:val="24"/>
                <w:szCs w:val="24"/>
              </w:rPr>
            </w:pPr>
          </w:p>
        </w:tc>
        <w:tc>
          <w:tcPr>
            <w:tcW w:w="1482" w:type="dxa"/>
          </w:tcPr>
          <w:p>
            <w:pPr>
              <w:spacing w:line="360" w:lineRule="auto"/>
              <w:jc w:val="center"/>
              <w:rPr>
                <w:rFonts w:hAnsi="宋体"/>
                <w:sz w:val="24"/>
                <w:szCs w:val="24"/>
              </w:rPr>
            </w:pPr>
          </w:p>
        </w:tc>
        <w:tc>
          <w:tcPr>
            <w:tcW w:w="1482" w:type="dxa"/>
            <w:vAlign w:val="center"/>
          </w:tcPr>
          <w:p>
            <w:pPr>
              <w:spacing w:line="360" w:lineRule="auto"/>
              <w:jc w:val="center"/>
              <w:rPr>
                <w:rFonts w:hAnsi="宋体"/>
                <w:sz w:val="24"/>
                <w:szCs w:val="24"/>
              </w:rPr>
            </w:pPr>
          </w:p>
        </w:tc>
        <w:tc>
          <w:tcPr>
            <w:tcW w:w="864" w:type="dxa"/>
            <w:vAlign w:val="center"/>
          </w:tcPr>
          <w:p>
            <w:pPr>
              <w:spacing w:line="360" w:lineRule="auto"/>
              <w:jc w:val="center"/>
              <w:rPr>
                <w:rFonts w:hAnsi="宋体"/>
                <w:sz w:val="24"/>
                <w:szCs w:val="24"/>
              </w:rPr>
            </w:pPr>
          </w:p>
        </w:tc>
        <w:tc>
          <w:tcPr>
            <w:tcW w:w="864" w:type="dxa"/>
            <w:vAlign w:val="center"/>
          </w:tcPr>
          <w:p>
            <w:pPr>
              <w:spacing w:line="360" w:lineRule="auto"/>
              <w:jc w:val="center"/>
              <w:rPr>
                <w:rFonts w:hAnsi="宋体"/>
                <w:sz w:val="24"/>
                <w:szCs w:val="24"/>
              </w:rPr>
            </w:pPr>
          </w:p>
        </w:tc>
        <w:tc>
          <w:tcPr>
            <w:tcW w:w="762" w:type="dxa"/>
            <w:vAlign w:val="center"/>
          </w:tcPr>
          <w:p>
            <w:pPr>
              <w:spacing w:line="360" w:lineRule="auto"/>
              <w:jc w:val="center"/>
              <w:rPr>
                <w:rFonts w:hAnsi="宋体"/>
                <w:sz w:val="24"/>
                <w:szCs w:val="24"/>
              </w:rPr>
            </w:pPr>
          </w:p>
        </w:tc>
        <w:tc>
          <w:tcPr>
            <w:tcW w:w="911" w:type="dxa"/>
            <w:vAlign w:val="center"/>
          </w:tcPr>
          <w:p>
            <w:pPr>
              <w:spacing w:line="360" w:lineRule="auto"/>
              <w:jc w:val="center"/>
              <w:rPr>
                <w:rFonts w:hAnsi="宋体"/>
                <w:sz w:val="24"/>
                <w:szCs w:val="24"/>
              </w:rPr>
            </w:pPr>
          </w:p>
        </w:tc>
        <w:tc>
          <w:tcPr>
            <w:tcW w:w="1073" w:type="dxa"/>
          </w:tcPr>
          <w:p>
            <w:pPr>
              <w:spacing w:line="36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9261" w:type="dxa"/>
            <w:gridSpan w:val="9"/>
          </w:tcPr>
          <w:p>
            <w:pPr>
              <w:topLinePunct/>
              <w:snapToGrid w:val="0"/>
              <w:spacing w:line="360" w:lineRule="auto"/>
              <w:rPr>
                <w:rFonts w:hAnsi="宋体" w:cs="宋体"/>
                <w:bCs/>
                <w:sz w:val="24"/>
                <w:szCs w:val="24"/>
              </w:rPr>
            </w:pPr>
            <w:r>
              <w:rPr>
                <w:rFonts w:hint="eastAsia" w:hAnsi="宋体"/>
                <w:sz w:val="24"/>
                <w:szCs w:val="24"/>
              </w:rPr>
              <w:t>谈判报价总计：</w:t>
            </w:r>
            <w:r>
              <w:rPr>
                <w:rFonts w:hint="eastAsia" w:hAnsi="宋体" w:cs="宋体"/>
                <w:bCs/>
                <w:sz w:val="24"/>
                <w:szCs w:val="24"/>
              </w:rPr>
              <w:t>（大写）人民币</w:t>
            </w:r>
            <w:r>
              <w:rPr>
                <w:rFonts w:hint="eastAsia" w:hAnsi="宋体"/>
                <w:sz w:val="24"/>
                <w:szCs w:val="24"/>
                <w:u w:val="single"/>
              </w:rPr>
              <w:t xml:space="preserve">   </w:t>
            </w:r>
            <w:r>
              <w:rPr>
                <w:rFonts w:hint="eastAsia" w:hAnsi="宋体" w:cs="宋体"/>
                <w:bCs/>
                <w:sz w:val="24"/>
                <w:szCs w:val="24"/>
              </w:rPr>
              <w:t>拾</w:t>
            </w:r>
            <w:r>
              <w:rPr>
                <w:rFonts w:hint="eastAsia" w:hAnsi="宋体"/>
                <w:sz w:val="24"/>
                <w:szCs w:val="24"/>
                <w:u w:val="single"/>
              </w:rPr>
              <w:t xml:space="preserve">   </w:t>
            </w:r>
            <w:r>
              <w:rPr>
                <w:rFonts w:hint="eastAsia" w:hAnsi="宋体" w:cs="宋体"/>
                <w:bCs/>
                <w:sz w:val="24"/>
                <w:szCs w:val="24"/>
              </w:rPr>
              <w:t>万</w:t>
            </w:r>
            <w:r>
              <w:rPr>
                <w:rFonts w:hint="eastAsia" w:hAnsi="宋体"/>
                <w:sz w:val="24"/>
                <w:szCs w:val="24"/>
                <w:u w:val="single"/>
              </w:rPr>
              <w:t xml:space="preserve">   </w:t>
            </w:r>
            <w:r>
              <w:rPr>
                <w:rFonts w:hint="eastAsia" w:hAnsi="宋体" w:cs="宋体"/>
                <w:bCs/>
                <w:sz w:val="24"/>
                <w:szCs w:val="24"/>
              </w:rPr>
              <w:t>仟</w:t>
            </w:r>
            <w:r>
              <w:rPr>
                <w:rFonts w:hint="eastAsia" w:hAnsi="宋体"/>
                <w:sz w:val="24"/>
                <w:szCs w:val="24"/>
                <w:u w:val="single"/>
              </w:rPr>
              <w:t xml:space="preserve">   </w:t>
            </w:r>
            <w:r>
              <w:rPr>
                <w:rFonts w:hint="eastAsia" w:hAnsi="宋体" w:cs="宋体"/>
                <w:bCs/>
                <w:sz w:val="24"/>
                <w:szCs w:val="24"/>
              </w:rPr>
              <w:t>佰</w:t>
            </w:r>
            <w:r>
              <w:rPr>
                <w:rFonts w:hint="eastAsia" w:hAnsi="宋体"/>
                <w:sz w:val="24"/>
                <w:szCs w:val="24"/>
                <w:u w:val="single"/>
              </w:rPr>
              <w:t xml:space="preserve">   </w:t>
            </w:r>
            <w:r>
              <w:rPr>
                <w:rFonts w:hint="eastAsia" w:hAnsi="宋体" w:cs="宋体"/>
                <w:bCs/>
                <w:sz w:val="24"/>
                <w:szCs w:val="24"/>
              </w:rPr>
              <w:t>拾</w:t>
            </w:r>
            <w:r>
              <w:rPr>
                <w:rFonts w:hint="eastAsia" w:hAnsi="宋体"/>
                <w:sz w:val="24"/>
                <w:szCs w:val="24"/>
                <w:u w:val="single"/>
              </w:rPr>
              <w:t xml:space="preserve">   </w:t>
            </w:r>
            <w:r>
              <w:rPr>
                <w:rFonts w:hint="eastAsia" w:hAnsi="宋体" w:cs="宋体"/>
                <w:bCs/>
                <w:sz w:val="24"/>
                <w:szCs w:val="24"/>
              </w:rPr>
              <w:t>元整</w:t>
            </w:r>
          </w:p>
          <w:p>
            <w:pPr>
              <w:spacing w:line="360" w:lineRule="auto"/>
              <w:ind w:firstLine="1680" w:firstLineChars="700"/>
              <w:rPr>
                <w:rFonts w:hAnsi="宋体"/>
                <w:sz w:val="24"/>
                <w:szCs w:val="24"/>
              </w:rPr>
            </w:pPr>
            <w:r>
              <w:rPr>
                <w:rFonts w:hint="eastAsia" w:hAnsi="宋体" w:cs="宋体"/>
                <w:bCs/>
                <w:sz w:val="24"/>
                <w:szCs w:val="24"/>
              </w:rPr>
              <w:t>（¥</w:t>
            </w:r>
            <w:r>
              <w:rPr>
                <w:rFonts w:hint="eastAsia" w:hAnsi="宋体"/>
                <w:sz w:val="24"/>
                <w:szCs w:val="24"/>
                <w:u w:val="single"/>
              </w:rPr>
              <w:t xml:space="preserve">               </w:t>
            </w:r>
            <w:r>
              <w:rPr>
                <w:rFonts w:hint="eastAsia" w:hAnsi="宋体" w:cs="宋体"/>
                <w:bCs/>
                <w:sz w:val="24"/>
                <w:szCs w:val="24"/>
              </w:rPr>
              <w:t>元）</w:t>
            </w:r>
          </w:p>
        </w:tc>
      </w:tr>
    </w:tbl>
    <w:p>
      <w:pPr>
        <w:widowControl/>
        <w:topLinePunct/>
        <w:spacing w:before="4" w:line="360" w:lineRule="auto"/>
        <w:rPr>
          <w:rFonts w:hAnsi="宋体"/>
          <w:b/>
          <w:bCs/>
          <w:sz w:val="24"/>
          <w:szCs w:val="28"/>
          <w:u w:val="single"/>
        </w:rPr>
      </w:pPr>
      <w:r>
        <w:rPr>
          <w:rFonts w:hint="eastAsia" w:hAnsi="宋体"/>
          <w:b/>
          <w:bCs/>
          <w:sz w:val="24"/>
          <w:szCs w:val="28"/>
        </w:rPr>
        <w:t>谈判供应商（公章 ）</w:t>
      </w:r>
    </w:p>
    <w:p>
      <w:pPr>
        <w:widowControl/>
        <w:topLinePunct/>
        <w:spacing w:before="4" w:line="360" w:lineRule="auto"/>
        <w:rPr>
          <w:rFonts w:hAnsi="宋体"/>
          <w:b/>
          <w:bCs/>
          <w:sz w:val="24"/>
          <w:szCs w:val="28"/>
        </w:rPr>
      </w:pPr>
      <w:r>
        <w:rPr>
          <w:rFonts w:hint="eastAsia" w:hAnsi="宋体"/>
          <w:b/>
          <w:bCs/>
          <w:sz w:val="24"/>
          <w:szCs w:val="28"/>
        </w:rPr>
        <w:t xml:space="preserve">授权代表（签字） </w:t>
      </w:r>
    </w:p>
    <w:p>
      <w:pPr>
        <w:spacing w:line="360" w:lineRule="auto"/>
        <w:rPr>
          <w:rFonts w:hAnsi="宋体"/>
          <w:sz w:val="24"/>
          <w:szCs w:val="24"/>
        </w:rPr>
      </w:pPr>
      <w:r>
        <w:rPr>
          <w:rFonts w:hAnsi="宋体"/>
          <w:sz w:val="24"/>
          <w:szCs w:val="24"/>
        </w:rPr>
        <w:t>注：(1)此表为表样，行数可自行添加，但表式不变。</w:t>
      </w:r>
    </w:p>
    <w:p>
      <w:pPr>
        <w:spacing w:line="360" w:lineRule="auto"/>
        <w:ind w:firstLine="600" w:firstLineChars="250"/>
        <w:rPr>
          <w:rFonts w:hAnsi="宋体"/>
          <w:sz w:val="24"/>
          <w:szCs w:val="24"/>
        </w:rPr>
      </w:pPr>
      <w:r>
        <w:rPr>
          <w:rFonts w:hAnsi="宋体"/>
          <w:sz w:val="24"/>
          <w:szCs w:val="24"/>
        </w:rPr>
        <w:t>(2)相关</w:t>
      </w:r>
      <w:r>
        <w:rPr>
          <w:rFonts w:hint="eastAsia" w:hAnsi="宋体"/>
          <w:sz w:val="24"/>
          <w:szCs w:val="24"/>
        </w:rPr>
        <w:t>的</w:t>
      </w:r>
      <w:r>
        <w:rPr>
          <w:rFonts w:hAnsi="宋体"/>
          <w:sz w:val="24"/>
          <w:szCs w:val="24"/>
        </w:rPr>
        <w:t>所有费用由</w:t>
      </w:r>
      <w:r>
        <w:rPr>
          <w:rFonts w:hint="eastAsia" w:hAnsi="宋体"/>
          <w:sz w:val="24"/>
          <w:szCs w:val="24"/>
        </w:rPr>
        <w:t>谈判供应商</w:t>
      </w:r>
      <w:r>
        <w:rPr>
          <w:rFonts w:hAnsi="宋体"/>
          <w:sz w:val="24"/>
          <w:szCs w:val="24"/>
        </w:rPr>
        <w:t>自行计算填列。</w:t>
      </w:r>
    </w:p>
    <w:p>
      <w:pPr>
        <w:spacing w:line="360" w:lineRule="auto"/>
        <w:ind w:firstLine="600" w:firstLineChars="250"/>
        <w:rPr>
          <w:rFonts w:hAnsi="宋体"/>
          <w:sz w:val="24"/>
          <w:szCs w:val="24"/>
        </w:rPr>
      </w:pPr>
      <w:r>
        <w:rPr>
          <w:rFonts w:hAnsi="宋体"/>
          <w:sz w:val="24"/>
          <w:szCs w:val="24"/>
        </w:rPr>
        <w:t>(3)总价=单价*数量，数量由</w:t>
      </w:r>
      <w:r>
        <w:rPr>
          <w:rFonts w:hint="eastAsia" w:hAnsi="宋体"/>
          <w:sz w:val="24"/>
          <w:szCs w:val="24"/>
        </w:rPr>
        <w:t>谈判供应商</w:t>
      </w:r>
      <w:r>
        <w:rPr>
          <w:rFonts w:hAnsi="宋体"/>
          <w:sz w:val="24"/>
          <w:szCs w:val="24"/>
        </w:rPr>
        <w:t>自行计算并填列。</w:t>
      </w:r>
    </w:p>
    <w:p>
      <w:pPr>
        <w:spacing w:line="360" w:lineRule="auto"/>
        <w:ind w:firstLine="600" w:firstLineChars="250"/>
        <w:rPr>
          <w:rFonts w:hAnsi="宋体"/>
          <w:sz w:val="24"/>
          <w:szCs w:val="24"/>
        </w:rPr>
      </w:pPr>
      <w:r>
        <w:rPr>
          <w:rFonts w:hAnsi="宋体"/>
          <w:sz w:val="24"/>
          <w:szCs w:val="24"/>
        </w:rPr>
        <w:t>(4)上表中的“</w:t>
      </w:r>
      <w:r>
        <w:rPr>
          <w:rFonts w:hint="eastAsia" w:hAnsi="宋体"/>
          <w:sz w:val="24"/>
          <w:szCs w:val="24"/>
        </w:rPr>
        <w:t>谈判报价</w:t>
      </w:r>
      <w:r>
        <w:rPr>
          <w:rFonts w:hAnsi="宋体"/>
          <w:sz w:val="24"/>
          <w:szCs w:val="24"/>
        </w:rPr>
        <w:t>总计”数应当等于“</w:t>
      </w:r>
      <w:r>
        <w:rPr>
          <w:rFonts w:hint="eastAsia" w:hAnsi="宋体"/>
          <w:sz w:val="24"/>
          <w:szCs w:val="24"/>
        </w:rPr>
        <w:t>报价</w:t>
      </w:r>
      <w:r>
        <w:rPr>
          <w:rFonts w:hAnsi="宋体"/>
          <w:sz w:val="24"/>
          <w:szCs w:val="24"/>
        </w:rPr>
        <w:t>一览表”中“</w:t>
      </w:r>
      <w:r>
        <w:rPr>
          <w:rFonts w:hint="eastAsia" w:hAnsi="宋体"/>
          <w:sz w:val="24"/>
          <w:szCs w:val="24"/>
        </w:rPr>
        <w:t>谈判</w:t>
      </w:r>
      <w:r>
        <w:rPr>
          <w:rFonts w:hAnsi="宋体"/>
          <w:sz w:val="24"/>
          <w:szCs w:val="24"/>
        </w:rPr>
        <w:t>报价总计”数。</w:t>
      </w:r>
    </w:p>
    <w:p>
      <w:pPr>
        <w:pStyle w:val="4"/>
        <w:spacing w:line="360" w:lineRule="auto"/>
        <w:rPr>
          <w:rFonts w:hAnsi="宋体"/>
          <w:sz w:val="30"/>
        </w:rPr>
      </w:pPr>
      <w:bookmarkStart w:id="94" w:name="_Toc334621296"/>
      <w:bookmarkStart w:id="95" w:name="_Toc31387"/>
      <w:r>
        <w:rPr>
          <w:rFonts w:hint="eastAsia" w:hAnsi="宋体"/>
          <w:sz w:val="30"/>
        </w:rPr>
        <w:t>4.技术要求响应表</w:t>
      </w:r>
      <w:bookmarkEnd w:id="94"/>
      <w:bookmarkEnd w:id="95"/>
    </w:p>
    <w:tbl>
      <w:tblPr>
        <w:tblStyle w:val="4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3978"/>
        <w:gridCol w:w="3005"/>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08" w:type="dxa"/>
            <w:vAlign w:val="center"/>
          </w:tcPr>
          <w:p>
            <w:pPr>
              <w:spacing w:line="400" w:lineRule="exact"/>
              <w:jc w:val="center"/>
              <w:rPr>
                <w:rFonts w:hAnsi="宋体"/>
                <w:sz w:val="24"/>
              </w:rPr>
            </w:pPr>
            <w:r>
              <w:rPr>
                <w:rFonts w:hint="eastAsia" w:hAnsi="宋体"/>
                <w:sz w:val="24"/>
              </w:rPr>
              <w:t>编号</w:t>
            </w:r>
          </w:p>
        </w:tc>
        <w:tc>
          <w:tcPr>
            <w:tcW w:w="3978" w:type="dxa"/>
            <w:vAlign w:val="center"/>
          </w:tcPr>
          <w:p>
            <w:pPr>
              <w:spacing w:line="400" w:lineRule="exact"/>
              <w:jc w:val="center"/>
              <w:rPr>
                <w:rFonts w:hAnsi="宋体"/>
                <w:sz w:val="24"/>
              </w:rPr>
            </w:pPr>
            <w:r>
              <w:rPr>
                <w:rFonts w:hint="eastAsia" w:hAnsi="宋体"/>
                <w:sz w:val="24"/>
              </w:rPr>
              <w:t>原技术规范主要条款描述</w:t>
            </w:r>
          </w:p>
        </w:tc>
        <w:tc>
          <w:tcPr>
            <w:tcW w:w="3005" w:type="dxa"/>
            <w:vAlign w:val="center"/>
          </w:tcPr>
          <w:p>
            <w:pPr>
              <w:spacing w:line="400" w:lineRule="exact"/>
              <w:jc w:val="center"/>
              <w:rPr>
                <w:rFonts w:hAnsi="宋体"/>
                <w:sz w:val="24"/>
              </w:rPr>
            </w:pPr>
            <w:r>
              <w:rPr>
                <w:rFonts w:hint="eastAsia" w:hAnsi="宋体"/>
                <w:sz w:val="24"/>
              </w:rPr>
              <w:t>谈判供应商技术规范描述</w:t>
            </w:r>
          </w:p>
        </w:tc>
        <w:tc>
          <w:tcPr>
            <w:tcW w:w="737" w:type="dxa"/>
            <w:vAlign w:val="center"/>
          </w:tcPr>
          <w:p>
            <w:pPr>
              <w:spacing w:line="400" w:lineRule="exact"/>
              <w:jc w:val="center"/>
              <w:rPr>
                <w:rFonts w:hAnsi="宋体"/>
                <w:sz w:val="24"/>
              </w:rPr>
            </w:pPr>
            <w:r>
              <w:rPr>
                <w:rFonts w:hint="eastAsia" w:hAnsi="宋体"/>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08" w:type="dxa"/>
            <w:vAlign w:val="center"/>
          </w:tcPr>
          <w:p>
            <w:pPr>
              <w:widowControl/>
              <w:jc w:val="center"/>
              <w:rPr>
                <w:rFonts w:hAnsi="宋体" w:cs="宋体"/>
                <w:szCs w:val="21"/>
              </w:rPr>
            </w:pPr>
            <w:r>
              <w:rPr>
                <w:rFonts w:hint="eastAsia" w:ascii="仿宋_GB2312" w:eastAsia="仿宋_GB2312"/>
                <w:sz w:val="24"/>
              </w:rPr>
              <w:t>1</w:t>
            </w:r>
          </w:p>
        </w:tc>
        <w:tc>
          <w:tcPr>
            <w:tcW w:w="3978" w:type="dxa"/>
            <w:vAlign w:val="center"/>
          </w:tcPr>
          <w:p>
            <w:pPr>
              <w:spacing w:line="360" w:lineRule="auto"/>
              <w:rPr>
                <w:rFonts w:ascii="仿宋_GB2312" w:eastAsia="仿宋_GB2312"/>
                <w:sz w:val="24"/>
              </w:rPr>
            </w:pPr>
          </w:p>
        </w:tc>
        <w:tc>
          <w:tcPr>
            <w:tcW w:w="3005" w:type="dxa"/>
            <w:vAlign w:val="center"/>
          </w:tcPr>
          <w:p>
            <w:pPr>
              <w:spacing w:line="400" w:lineRule="exact"/>
              <w:jc w:val="center"/>
              <w:rPr>
                <w:rFonts w:hAnsi="宋体"/>
                <w:szCs w:val="21"/>
              </w:rPr>
            </w:pPr>
          </w:p>
        </w:tc>
        <w:tc>
          <w:tcPr>
            <w:tcW w:w="737" w:type="dxa"/>
            <w:vAlign w:val="center"/>
          </w:tcPr>
          <w:p>
            <w:pPr>
              <w:spacing w:line="40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08" w:type="dxa"/>
            <w:vAlign w:val="center"/>
          </w:tcPr>
          <w:p>
            <w:pPr>
              <w:jc w:val="center"/>
              <w:rPr>
                <w:rFonts w:hAnsi="宋体" w:cs="宋体"/>
                <w:szCs w:val="21"/>
              </w:rPr>
            </w:pPr>
            <w:r>
              <w:rPr>
                <w:rFonts w:hint="eastAsia" w:ascii="仿宋_GB2312" w:eastAsia="仿宋_GB2312"/>
                <w:sz w:val="24"/>
              </w:rPr>
              <w:t>2</w:t>
            </w:r>
          </w:p>
        </w:tc>
        <w:tc>
          <w:tcPr>
            <w:tcW w:w="3978" w:type="dxa"/>
            <w:vAlign w:val="center"/>
          </w:tcPr>
          <w:p>
            <w:pPr>
              <w:spacing w:line="360" w:lineRule="auto"/>
              <w:rPr>
                <w:rFonts w:ascii="仿宋_GB2312" w:eastAsia="仿宋_GB2312"/>
                <w:sz w:val="24"/>
              </w:rPr>
            </w:pPr>
          </w:p>
        </w:tc>
        <w:tc>
          <w:tcPr>
            <w:tcW w:w="3005" w:type="dxa"/>
            <w:vAlign w:val="center"/>
          </w:tcPr>
          <w:p>
            <w:pPr>
              <w:spacing w:line="400" w:lineRule="exact"/>
              <w:jc w:val="center"/>
              <w:rPr>
                <w:rFonts w:hAnsi="宋体"/>
                <w:szCs w:val="21"/>
              </w:rPr>
            </w:pPr>
          </w:p>
        </w:tc>
        <w:tc>
          <w:tcPr>
            <w:tcW w:w="737" w:type="dxa"/>
            <w:vAlign w:val="center"/>
          </w:tcPr>
          <w:p>
            <w:pPr>
              <w:spacing w:line="40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808" w:type="dxa"/>
            <w:vAlign w:val="center"/>
          </w:tcPr>
          <w:p>
            <w:pPr>
              <w:jc w:val="center"/>
              <w:rPr>
                <w:rFonts w:hAnsi="宋体" w:cs="宋体"/>
                <w:szCs w:val="21"/>
              </w:rPr>
            </w:pPr>
            <w:r>
              <w:rPr>
                <w:rFonts w:hint="eastAsia" w:ascii="仿宋_GB2312" w:eastAsia="仿宋_GB2312"/>
                <w:sz w:val="24"/>
              </w:rPr>
              <w:t>3</w:t>
            </w:r>
          </w:p>
        </w:tc>
        <w:tc>
          <w:tcPr>
            <w:tcW w:w="3978" w:type="dxa"/>
            <w:vAlign w:val="center"/>
          </w:tcPr>
          <w:p>
            <w:pPr>
              <w:spacing w:line="360" w:lineRule="auto"/>
              <w:rPr>
                <w:rFonts w:ascii="仿宋_GB2312" w:eastAsia="仿宋_GB2312"/>
                <w:sz w:val="24"/>
              </w:rPr>
            </w:pPr>
          </w:p>
        </w:tc>
        <w:tc>
          <w:tcPr>
            <w:tcW w:w="3005" w:type="dxa"/>
            <w:vAlign w:val="center"/>
          </w:tcPr>
          <w:p>
            <w:pPr>
              <w:spacing w:line="400" w:lineRule="exact"/>
              <w:jc w:val="center"/>
              <w:rPr>
                <w:rFonts w:hAnsi="宋体"/>
                <w:szCs w:val="21"/>
              </w:rPr>
            </w:pPr>
          </w:p>
        </w:tc>
        <w:tc>
          <w:tcPr>
            <w:tcW w:w="737" w:type="dxa"/>
            <w:vAlign w:val="center"/>
          </w:tcPr>
          <w:p>
            <w:pPr>
              <w:spacing w:line="40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08" w:type="dxa"/>
            <w:vAlign w:val="center"/>
          </w:tcPr>
          <w:p>
            <w:pPr>
              <w:jc w:val="center"/>
              <w:rPr>
                <w:rFonts w:hAnsi="宋体" w:cs="宋体"/>
                <w:szCs w:val="21"/>
              </w:rPr>
            </w:pPr>
            <w:r>
              <w:rPr>
                <w:rFonts w:hint="eastAsia" w:ascii="仿宋_GB2312" w:eastAsia="仿宋_GB2312"/>
                <w:sz w:val="24"/>
              </w:rPr>
              <w:t>4</w:t>
            </w:r>
          </w:p>
        </w:tc>
        <w:tc>
          <w:tcPr>
            <w:tcW w:w="3978" w:type="dxa"/>
            <w:vAlign w:val="center"/>
          </w:tcPr>
          <w:p>
            <w:pPr>
              <w:spacing w:line="360" w:lineRule="auto"/>
              <w:rPr>
                <w:rFonts w:ascii="仿宋_GB2312" w:eastAsia="仿宋_GB2312"/>
                <w:sz w:val="24"/>
              </w:rPr>
            </w:pPr>
          </w:p>
        </w:tc>
        <w:tc>
          <w:tcPr>
            <w:tcW w:w="3005" w:type="dxa"/>
            <w:vAlign w:val="center"/>
          </w:tcPr>
          <w:p>
            <w:pPr>
              <w:spacing w:line="400" w:lineRule="exact"/>
              <w:jc w:val="center"/>
              <w:rPr>
                <w:rFonts w:hAnsi="宋体"/>
                <w:szCs w:val="21"/>
              </w:rPr>
            </w:pPr>
          </w:p>
        </w:tc>
        <w:tc>
          <w:tcPr>
            <w:tcW w:w="737" w:type="dxa"/>
            <w:vAlign w:val="center"/>
          </w:tcPr>
          <w:p>
            <w:pPr>
              <w:spacing w:line="40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08" w:type="dxa"/>
            <w:vAlign w:val="center"/>
          </w:tcPr>
          <w:p>
            <w:pPr>
              <w:jc w:val="center"/>
              <w:rPr>
                <w:rFonts w:hAnsi="宋体" w:cs="宋体"/>
                <w:szCs w:val="21"/>
              </w:rPr>
            </w:pPr>
            <w:r>
              <w:rPr>
                <w:rFonts w:hint="eastAsia" w:ascii="仿宋_GB2312" w:eastAsia="仿宋_GB2312"/>
                <w:sz w:val="24"/>
              </w:rPr>
              <w:t>5</w:t>
            </w:r>
          </w:p>
        </w:tc>
        <w:tc>
          <w:tcPr>
            <w:tcW w:w="3978" w:type="dxa"/>
            <w:vAlign w:val="center"/>
          </w:tcPr>
          <w:p>
            <w:pPr>
              <w:spacing w:line="360" w:lineRule="auto"/>
              <w:rPr>
                <w:rFonts w:ascii="仿宋_GB2312" w:eastAsia="仿宋_GB2312"/>
                <w:sz w:val="24"/>
              </w:rPr>
            </w:pPr>
          </w:p>
        </w:tc>
        <w:tc>
          <w:tcPr>
            <w:tcW w:w="3005" w:type="dxa"/>
            <w:vAlign w:val="center"/>
          </w:tcPr>
          <w:p>
            <w:pPr>
              <w:spacing w:line="400" w:lineRule="exact"/>
              <w:jc w:val="center"/>
              <w:rPr>
                <w:rFonts w:hAnsi="宋体"/>
                <w:szCs w:val="21"/>
              </w:rPr>
            </w:pPr>
          </w:p>
        </w:tc>
        <w:tc>
          <w:tcPr>
            <w:tcW w:w="737" w:type="dxa"/>
            <w:vAlign w:val="center"/>
          </w:tcPr>
          <w:p>
            <w:pPr>
              <w:spacing w:line="40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08" w:type="dxa"/>
            <w:vAlign w:val="center"/>
          </w:tcPr>
          <w:p>
            <w:pPr>
              <w:jc w:val="center"/>
              <w:rPr>
                <w:rFonts w:hAnsi="宋体" w:cs="宋体"/>
                <w:szCs w:val="21"/>
              </w:rPr>
            </w:pPr>
            <w:r>
              <w:rPr>
                <w:rFonts w:hint="eastAsia" w:ascii="仿宋_GB2312" w:eastAsia="仿宋_GB2312"/>
                <w:sz w:val="24"/>
              </w:rPr>
              <w:t>6</w:t>
            </w:r>
          </w:p>
        </w:tc>
        <w:tc>
          <w:tcPr>
            <w:tcW w:w="3978" w:type="dxa"/>
            <w:vAlign w:val="center"/>
          </w:tcPr>
          <w:p>
            <w:pPr>
              <w:spacing w:line="360" w:lineRule="auto"/>
              <w:rPr>
                <w:rFonts w:ascii="仿宋_GB2312" w:eastAsia="仿宋_GB2312"/>
                <w:sz w:val="24"/>
              </w:rPr>
            </w:pPr>
          </w:p>
        </w:tc>
        <w:tc>
          <w:tcPr>
            <w:tcW w:w="3005" w:type="dxa"/>
            <w:vAlign w:val="center"/>
          </w:tcPr>
          <w:p>
            <w:pPr>
              <w:spacing w:line="400" w:lineRule="exact"/>
              <w:jc w:val="center"/>
              <w:rPr>
                <w:rFonts w:hAnsi="宋体"/>
                <w:szCs w:val="21"/>
              </w:rPr>
            </w:pPr>
          </w:p>
        </w:tc>
        <w:tc>
          <w:tcPr>
            <w:tcW w:w="737" w:type="dxa"/>
            <w:vAlign w:val="center"/>
          </w:tcPr>
          <w:p>
            <w:pPr>
              <w:spacing w:line="40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808" w:type="dxa"/>
            <w:vAlign w:val="center"/>
          </w:tcPr>
          <w:p>
            <w:pPr>
              <w:widowControl/>
              <w:jc w:val="center"/>
              <w:rPr>
                <w:rFonts w:hAnsi="宋体" w:cs="宋体"/>
                <w:szCs w:val="21"/>
              </w:rPr>
            </w:pPr>
            <w:r>
              <w:rPr>
                <w:rFonts w:hint="eastAsia" w:ascii="仿宋_GB2312" w:eastAsia="仿宋_GB2312"/>
                <w:sz w:val="24"/>
              </w:rPr>
              <w:t>7</w:t>
            </w:r>
          </w:p>
        </w:tc>
        <w:tc>
          <w:tcPr>
            <w:tcW w:w="3978" w:type="dxa"/>
            <w:vAlign w:val="center"/>
          </w:tcPr>
          <w:p>
            <w:pPr>
              <w:widowControl/>
              <w:rPr>
                <w:rFonts w:hAnsi="宋体" w:cs="宋体"/>
                <w:szCs w:val="21"/>
              </w:rPr>
            </w:pPr>
          </w:p>
        </w:tc>
        <w:tc>
          <w:tcPr>
            <w:tcW w:w="3005" w:type="dxa"/>
            <w:vAlign w:val="center"/>
          </w:tcPr>
          <w:p>
            <w:pPr>
              <w:spacing w:line="400" w:lineRule="exact"/>
              <w:jc w:val="center"/>
              <w:rPr>
                <w:rFonts w:hAnsi="宋体"/>
                <w:szCs w:val="21"/>
              </w:rPr>
            </w:pPr>
          </w:p>
        </w:tc>
        <w:tc>
          <w:tcPr>
            <w:tcW w:w="737" w:type="dxa"/>
            <w:vAlign w:val="center"/>
          </w:tcPr>
          <w:p>
            <w:pPr>
              <w:spacing w:line="40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08" w:type="dxa"/>
            <w:vAlign w:val="center"/>
          </w:tcPr>
          <w:p>
            <w:pPr>
              <w:widowControl/>
              <w:jc w:val="center"/>
              <w:rPr>
                <w:rFonts w:ascii="仿宋_GB2312" w:eastAsia="仿宋_GB2312"/>
                <w:sz w:val="24"/>
              </w:rPr>
            </w:pPr>
            <w:r>
              <w:rPr>
                <w:rFonts w:hint="eastAsia" w:ascii="仿宋_GB2312" w:eastAsia="仿宋_GB2312"/>
                <w:sz w:val="24"/>
              </w:rPr>
              <w:t>8</w:t>
            </w:r>
          </w:p>
        </w:tc>
        <w:tc>
          <w:tcPr>
            <w:tcW w:w="3978" w:type="dxa"/>
            <w:vAlign w:val="center"/>
          </w:tcPr>
          <w:p>
            <w:pPr>
              <w:widowControl/>
              <w:rPr>
                <w:sz w:val="24"/>
                <w:szCs w:val="24"/>
              </w:rPr>
            </w:pPr>
          </w:p>
        </w:tc>
        <w:tc>
          <w:tcPr>
            <w:tcW w:w="3005" w:type="dxa"/>
            <w:vAlign w:val="center"/>
          </w:tcPr>
          <w:p>
            <w:pPr>
              <w:spacing w:line="400" w:lineRule="exact"/>
              <w:jc w:val="center"/>
              <w:rPr>
                <w:rFonts w:hAnsi="宋体"/>
                <w:szCs w:val="21"/>
              </w:rPr>
            </w:pPr>
          </w:p>
        </w:tc>
        <w:tc>
          <w:tcPr>
            <w:tcW w:w="737" w:type="dxa"/>
            <w:vAlign w:val="center"/>
          </w:tcPr>
          <w:p>
            <w:pPr>
              <w:spacing w:line="40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08" w:type="dxa"/>
            <w:vAlign w:val="center"/>
          </w:tcPr>
          <w:p>
            <w:pPr>
              <w:widowControl/>
              <w:jc w:val="center"/>
              <w:rPr>
                <w:rFonts w:ascii="仿宋_GB2312" w:eastAsia="仿宋_GB2312"/>
                <w:sz w:val="24"/>
              </w:rPr>
            </w:pPr>
            <w:r>
              <w:rPr>
                <w:rFonts w:hint="eastAsia" w:ascii="仿宋_GB2312" w:eastAsia="仿宋_GB2312"/>
                <w:sz w:val="24"/>
              </w:rPr>
              <w:t>9</w:t>
            </w:r>
          </w:p>
        </w:tc>
        <w:tc>
          <w:tcPr>
            <w:tcW w:w="3978" w:type="dxa"/>
            <w:vAlign w:val="center"/>
          </w:tcPr>
          <w:p>
            <w:pPr>
              <w:widowControl/>
              <w:rPr>
                <w:sz w:val="24"/>
                <w:szCs w:val="24"/>
              </w:rPr>
            </w:pPr>
          </w:p>
        </w:tc>
        <w:tc>
          <w:tcPr>
            <w:tcW w:w="3005" w:type="dxa"/>
            <w:vAlign w:val="center"/>
          </w:tcPr>
          <w:p>
            <w:pPr>
              <w:spacing w:line="400" w:lineRule="exact"/>
              <w:jc w:val="center"/>
              <w:rPr>
                <w:rFonts w:hAnsi="宋体"/>
                <w:szCs w:val="21"/>
              </w:rPr>
            </w:pPr>
          </w:p>
        </w:tc>
        <w:tc>
          <w:tcPr>
            <w:tcW w:w="737" w:type="dxa"/>
            <w:vAlign w:val="center"/>
          </w:tcPr>
          <w:p>
            <w:pPr>
              <w:spacing w:line="40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08" w:type="dxa"/>
            <w:vAlign w:val="center"/>
          </w:tcPr>
          <w:p>
            <w:pPr>
              <w:widowControl/>
              <w:jc w:val="center"/>
              <w:rPr>
                <w:rFonts w:ascii="仿宋_GB2312" w:eastAsia="仿宋_GB2312"/>
                <w:sz w:val="24"/>
              </w:rPr>
            </w:pPr>
            <w:r>
              <w:rPr>
                <w:rFonts w:hint="eastAsia" w:ascii="仿宋_GB2312" w:eastAsia="仿宋_GB2312"/>
                <w:sz w:val="24"/>
              </w:rPr>
              <w:t>10</w:t>
            </w:r>
          </w:p>
        </w:tc>
        <w:tc>
          <w:tcPr>
            <w:tcW w:w="3978" w:type="dxa"/>
            <w:vAlign w:val="center"/>
          </w:tcPr>
          <w:p>
            <w:pPr>
              <w:widowControl/>
              <w:rPr>
                <w:sz w:val="24"/>
                <w:szCs w:val="24"/>
              </w:rPr>
            </w:pPr>
          </w:p>
        </w:tc>
        <w:tc>
          <w:tcPr>
            <w:tcW w:w="3005" w:type="dxa"/>
            <w:vAlign w:val="center"/>
          </w:tcPr>
          <w:p>
            <w:pPr>
              <w:spacing w:line="400" w:lineRule="exact"/>
              <w:jc w:val="center"/>
              <w:rPr>
                <w:rFonts w:hAnsi="宋体"/>
                <w:szCs w:val="21"/>
              </w:rPr>
            </w:pPr>
          </w:p>
        </w:tc>
        <w:tc>
          <w:tcPr>
            <w:tcW w:w="737" w:type="dxa"/>
            <w:vAlign w:val="center"/>
          </w:tcPr>
          <w:p>
            <w:pPr>
              <w:spacing w:line="400" w:lineRule="exact"/>
              <w:jc w:val="center"/>
              <w:rPr>
                <w:rFonts w:hAnsi="宋体"/>
                <w:szCs w:val="21"/>
              </w:rPr>
            </w:pPr>
          </w:p>
        </w:tc>
      </w:tr>
    </w:tbl>
    <w:p>
      <w:pPr>
        <w:widowControl/>
        <w:topLinePunct/>
        <w:spacing w:before="4" w:line="360" w:lineRule="auto"/>
        <w:rPr>
          <w:rFonts w:hAnsi="宋体"/>
          <w:b/>
          <w:bCs/>
          <w:sz w:val="24"/>
          <w:szCs w:val="28"/>
          <w:u w:val="single"/>
        </w:rPr>
      </w:pPr>
      <w:r>
        <w:rPr>
          <w:rFonts w:hint="eastAsia" w:hAnsi="宋体"/>
          <w:b/>
          <w:bCs/>
          <w:sz w:val="24"/>
          <w:szCs w:val="28"/>
        </w:rPr>
        <w:t>谈判供应商（公章 ）</w:t>
      </w:r>
    </w:p>
    <w:p>
      <w:pPr>
        <w:widowControl/>
        <w:topLinePunct/>
        <w:spacing w:before="4" w:line="360" w:lineRule="auto"/>
        <w:rPr>
          <w:rFonts w:hAnsi="宋体"/>
          <w:b/>
          <w:bCs/>
          <w:sz w:val="24"/>
          <w:szCs w:val="28"/>
        </w:rPr>
      </w:pPr>
      <w:r>
        <w:rPr>
          <w:rFonts w:hint="eastAsia" w:hAnsi="宋体"/>
          <w:b/>
          <w:bCs/>
          <w:sz w:val="24"/>
          <w:szCs w:val="28"/>
        </w:rPr>
        <w:t xml:space="preserve">授权代表（签字） </w:t>
      </w:r>
    </w:p>
    <w:p>
      <w:pPr>
        <w:spacing w:line="360" w:lineRule="auto"/>
        <w:rPr>
          <w:rFonts w:hAnsi="宋体"/>
          <w:sz w:val="24"/>
        </w:rPr>
      </w:pPr>
      <w:r>
        <w:rPr>
          <w:rFonts w:hint="eastAsia" w:hAnsi="宋体"/>
          <w:sz w:val="24"/>
        </w:rPr>
        <w:t>注：（</w:t>
      </w:r>
      <w:r>
        <w:rPr>
          <w:rFonts w:hAnsi="宋体"/>
          <w:sz w:val="24"/>
        </w:rPr>
        <w:t>1</w:t>
      </w:r>
      <w:r>
        <w:rPr>
          <w:rFonts w:hint="eastAsia" w:hAnsi="宋体"/>
          <w:sz w:val="24"/>
        </w:rPr>
        <w:t>）</w:t>
      </w:r>
      <w:r>
        <w:rPr>
          <w:rFonts w:hAnsi="宋体"/>
          <w:sz w:val="24"/>
        </w:rPr>
        <w:t>此表为表样，行数可自行添加，但表式不变。</w:t>
      </w:r>
    </w:p>
    <w:p>
      <w:pPr>
        <w:spacing w:line="360" w:lineRule="auto"/>
        <w:ind w:firstLine="480" w:firstLineChars="200"/>
        <w:rPr>
          <w:rFonts w:hAnsi="宋体"/>
          <w:sz w:val="24"/>
        </w:rPr>
      </w:pPr>
      <w:r>
        <w:rPr>
          <w:rFonts w:hint="eastAsia" w:hAnsi="宋体"/>
          <w:sz w:val="24"/>
        </w:rPr>
        <w:t>（</w:t>
      </w:r>
      <w:r>
        <w:rPr>
          <w:rFonts w:hAnsi="宋体"/>
          <w:sz w:val="24"/>
        </w:rPr>
        <w:t>2</w:t>
      </w:r>
      <w:r>
        <w:rPr>
          <w:rFonts w:hint="eastAsia" w:hAnsi="宋体"/>
          <w:sz w:val="24"/>
        </w:rPr>
        <w:t>）谈判供应商</w:t>
      </w:r>
      <w:r>
        <w:rPr>
          <w:rFonts w:hAnsi="宋体"/>
          <w:sz w:val="24"/>
        </w:rPr>
        <w:t>根据系统方案添加的设备、材料等也请列出</w:t>
      </w:r>
    </w:p>
    <w:p>
      <w:pPr>
        <w:spacing w:line="360" w:lineRule="auto"/>
        <w:ind w:firstLine="480" w:firstLineChars="200"/>
        <w:rPr>
          <w:rFonts w:hAnsi="宋体"/>
          <w:sz w:val="24"/>
          <w:szCs w:val="24"/>
        </w:rPr>
      </w:pPr>
      <w:r>
        <w:rPr>
          <w:rFonts w:hint="eastAsia" w:hAnsi="宋体"/>
          <w:sz w:val="24"/>
        </w:rPr>
        <w:t>（</w:t>
      </w:r>
      <w:r>
        <w:rPr>
          <w:rFonts w:hAnsi="宋体"/>
          <w:sz w:val="24"/>
        </w:rPr>
        <w:t>3</w:t>
      </w:r>
      <w:r>
        <w:rPr>
          <w:rFonts w:hint="eastAsia" w:hAnsi="宋体"/>
          <w:sz w:val="24"/>
        </w:rPr>
        <w:t>）</w:t>
      </w:r>
      <w:r>
        <w:rPr>
          <w:rFonts w:hAnsi="宋体"/>
          <w:sz w:val="24"/>
        </w:rPr>
        <w:t>是否偏离用符号“+、=、-”分别表示正偏离、完全响应、负偏离</w:t>
      </w:r>
    </w:p>
    <w:p>
      <w:pPr>
        <w:pStyle w:val="4"/>
        <w:spacing w:line="360" w:lineRule="auto"/>
        <w:rPr>
          <w:rFonts w:hAnsi="宋体"/>
          <w:sz w:val="30"/>
        </w:rPr>
      </w:pPr>
      <w:bookmarkStart w:id="96" w:name="_Toc196890854"/>
      <w:bookmarkStart w:id="97" w:name="_Toc213839799"/>
      <w:bookmarkStart w:id="98" w:name="_Toc279410011"/>
      <w:bookmarkStart w:id="99" w:name="_Toc17966"/>
      <w:r>
        <w:rPr>
          <w:rFonts w:hint="eastAsia" w:hAnsi="宋体"/>
          <w:sz w:val="30"/>
        </w:rPr>
        <w:t>5</w:t>
      </w:r>
      <w:r>
        <w:rPr>
          <w:rFonts w:hAnsi="宋体"/>
          <w:sz w:val="30"/>
        </w:rPr>
        <w:t>.</w:t>
      </w:r>
      <w:bookmarkEnd w:id="96"/>
      <w:bookmarkEnd w:id="97"/>
      <w:r>
        <w:rPr>
          <w:rFonts w:hint="eastAsia" w:hAnsi="宋体"/>
          <w:sz w:val="30"/>
        </w:rPr>
        <w:t>服务质量及服务承诺书</w:t>
      </w:r>
      <w:bookmarkEnd w:id="98"/>
      <w:bookmarkEnd w:id="99"/>
    </w:p>
    <w:p>
      <w:pPr>
        <w:widowControl/>
        <w:spacing w:line="360" w:lineRule="auto"/>
        <w:ind w:firstLine="480" w:firstLineChars="200"/>
        <w:rPr>
          <w:rFonts w:hAnsi="宋体"/>
          <w:b/>
          <w:sz w:val="24"/>
          <w:szCs w:val="24"/>
        </w:rPr>
      </w:pPr>
      <w:r>
        <w:rPr>
          <w:rFonts w:hint="eastAsia" w:hAnsi="宋体"/>
          <w:sz w:val="24"/>
          <w:szCs w:val="24"/>
        </w:rPr>
        <w:t>此承诺由谈判供应商根据自身实际情况并结合谈判采购文件相关要求据实填写，格式由谈判供应商自定。</w:t>
      </w:r>
    </w:p>
    <w:p>
      <w:pPr>
        <w:spacing w:line="360" w:lineRule="auto"/>
        <w:rPr>
          <w:rFonts w:hAnsi="宋体"/>
          <w:sz w:val="24"/>
          <w:szCs w:val="24"/>
        </w:rPr>
      </w:pPr>
    </w:p>
    <w:p>
      <w:pPr>
        <w:spacing w:line="360" w:lineRule="auto"/>
        <w:rPr>
          <w:rFonts w:hAnsi="宋体"/>
          <w:b/>
          <w:i/>
          <w:sz w:val="24"/>
          <w:szCs w:val="24"/>
        </w:rPr>
      </w:pPr>
      <w:r>
        <w:rPr>
          <w:rFonts w:hint="eastAsia" w:hAnsi="宋体"/>
          <w:b/>
          <w:i/>
          <w:sz w:val="24"/>
          <w:szCs w:val="24"/>
        </w:rPr>
        <w:t>注： 1-5项为必须提供的内容，须授权代表签字并加盖谈判供应商单位公章，未提供或未按要求提供将不能通过符合性审查。</w:t>
      </w:r>
    </w:p>
    <w:p>
      <w:pPr>
        <w:pStyle w:val="3"/>
        <w:spacing w:line="360" w:lineRule="auto"/>
        <w:rPr>
          <w:rFonts w:ascii="宋体" w:hAnsi="宋体" w:eastAsia="宋体"/>
        </w:rPr>
      </w:pPr>
      <w:bookmarkStart w:id="100" w:name="_Toc239251050"/>
      <w:bookmarkStart w:id="101" w:name="_Toc279410012"/>
      <w:bookmarkStart w:id="102" w:name="_Toc708"/>
      <w:r>
        <w:rPr>
          <w:rFonts w:hint="eastAsia" w:ascii="宋体" w:hAnsi="宋体" w:eastAsia="宋体"/>
        </w:rPr>
        <w:t>二、资格证明文件</w:t>
      </w:r>
      <w:bookmarkEnd w:id="100"/>
      <w:bookmarkEnd w:id="101"/>
      <w:bookmarkEnd w:id="102"/>
    </w:p>
    <w:p>
      <w:pPr>
        <w:pStyle w:val="4"/>
        <w:spacing w:line="360" w:lineRule="auto"/>
        <w:rPr>
          <w:rFonts w:hAnsi="宋体"/>
          <w:sz w:val="30"/>
        </w:rPr>
      </w:pPr>
      <w:bookmarkStart w:id="103" w:name="_Toc30785"/>
      <w:bookmarkStart w:id="104" w:name="_Toc239251051"/>
      <w:bookmarkStart w:id="105" w:name="_Toc279410013"/>
      <w:r>
        <w:rPr>
          <w:rFonts w:hint="eastAsia" w:hAnsi="宋体"/>
          <w:sz w:val="30"/>
        </w:rPr>
        <w:t>1.资质证书</w:t>
      </w:r>
      <w:bookmarkEnd w:id="103"/>
    </w:p>
    <w:p>
      <w:pPr>
        <w:spacing w:line="360" w:lineRule="auto"/>
        <w:rPr>
          <w:rFonts w:hAnsi="宋体"/>
          <w:sz w:val="24"/>
          <w:szCs w:val="28"/>
        </w:rPr>
      </w:pPr>
      <w:r>
        <w:rPr>
          <w:rFonts w:hint="eastAsia" w:hAnsi="宋体"/>
          <w:sz w:val="24"/>
          <w:szCs w:val="24"/>
        </w:rPr>
        <w:t>营业执照</w:t>
      </w:r>
      <w:bookmarkEnd w:id="104"/>
      <w:bookmarkEnd w:id="105"/>
      <w:r>
        <w:rPr>
          <w:rFonts w:hint="eastAsia" w:hAnsi="宋体"/>
          <w:sz w:val="24"/>
          <w:szCs w:val="24"/>
        </w:rPr>
        <w:t>、组织机构代码证、税务登记证等。</w:t>
      </w:r>
    </w:p>
    <w:p>
      <w:pPr>
        <w:spacing w:line="360" w:lineRule="auto"/>
        <w:rPr>
          <w:rFonts w:hAnsi="宋体"/>
          <w:sz w:val="24"/>
          <w:szCs w:val="24"/>
        </w:rPr>
      </w:pPr>
      <w:r>
        <w:rPr>
          <w:rFonts w:hint="eastAsia" w:hAnsi="宋体"/>
          <w:sz w:val="24"/>
          <w:szCs w:val="24"/>
        </w:rPr>
        <w:t>以上资料原件携至现场备查。</w:t>
      </w:r>
    </w:p>
    <w:p>
      <w:pPr>
        <w:pStyle w:val="4"/>
        <w:spacing w:line="360" w:lineRule="auto"/>
        <w:rPr>
          <w:rFonts w:hAnsi="宋体"/>
        </w:rPr>
      </w:pPr>
      <w:bookmarkStart w:id="106" w:name="_Toc239251052"/>
      <w:bookmarkStart w:id="107" w:name="_Toc279410014"/>
      <w:bookmarkStart w:id="108" w:name="_Toc14974"/>
      <w:r>
        <w:rPr>
          <w:rFonts w:hint="eastAsia" w:hAnsi="宋体"/>
        </w:rPr>
        <w:t>2.法人授权委托书</w:t>
      </w:r>
      <w:bookmarkEnd w:id="106"/>
      <w:bookmarkEnd w:id="107"/>
      <w:bookmarkEnd w:id="108"/>
    </w:p>
    <w:p>
      <w:pPr>
        <w:spacing w:line="360" w:lineRule="auto"/>
        <w:jc w:val="center"/>
        <w:rPr>
          <w:rFonts w:hAnsi="宋体"/>
          <w:b/>
          <w:sz w:val="30"/>
        </w:rPr>
      </w:pPr>
      <w:r>
        <w:rPr>
          <w:rFonts w:hint="eastAsia" w:hAnsi="宋体"/>
          <w:b/>
          <w:sz w:val="30"/>
        </w:rPr>
        <w:t>法人授权委托书</w:t>
      </w:r>
    </w:p>
    <w:p>
      <w:pPr>
        <w:spacing w:line="360" w:lineRule="auto"/>
        <w:rPr>
          <w:rFonts w:hAnsi="宋体"/>
          <w:sz w:val="24"/>
          <w:szCs w:val="24"/>
        </w:rPr>
      </w:pPr>
      <w:r>
        <w:rPr>
          <w:rFonts w:hint="eastAsia" w:hAnsi="宋体"/>
          <w:sz w:val="24"/>
          <w:szCs w:val="24"/>
        </w:rPr>
        <w:t>致南京审计大学：</w:t>
      </w:r>
    </w:p>
    <w:p>
      <w:pPr>
        <w:spacing w:line="360" w:lineRule="auto"/>
        <w:rPr>
          <w:rFonts w:hAnsi="宋体"/>
          <w:sz w:val="24"/>
          <w:szCs w:val="24"/>
        </w:rPr>
      </w:pPr>
      <w:r>
        <w:rPr>
          <w:rFonts w:hint="eastAsia" w:hAnsi="宋体"/>
          <w:sz w:val="24"/>
          <w:szCs w:val="24"/>
        </w:rPr>
        <w:t xml:space="preserve">    本授权书宣告：</w:t>
      </w:r>
    </w:p>
    <w:p>
      <w:pPr>
        <w:snapToGrid w:val="0"/>
        <w:spacing w:line="360" w:lineRule="auto"/>
        <w:rPr>
          <w:rFonts w:hAnsi="宋体"/>
          <w:sz w:val="24"/>
          <w:szCs w:val="24"/>
          <w:u w:val="single"/>
        </w:rPr>
      </w:pPr>
      <w:r>
        <w:rPr>
          <w:rFonts w:hint="eastAsia" w:hAnsi="宋体"/>
          <w:sz w:val="24"/>
          <w:szCs w:val="24"/>
        </w:rPr>
        <w:t>委托人：</w:t>
      </w:r>
      <w:r>
        <w:rPr>
          <w:rFonts w:hint="eastAsia" w:hAnsi="宋体"/>
          <w:sz w:val="24"/>
          <w:szCs w:val="24"/>
          <w:u w:val="single"/>
        </w:rPr>
        <w:t xml:space="preserve">          </w:t>
      </w:r>
    </w:p>
    <w:p>
      <w:pPr>
        <w:snapToGrid w:val="0"/>
        <w:spacing w:line="360" w:lineRule="auto"/>
        <w:rPr>
          <w:rFonts w:hAnsi="宋体"/>
          <w:sz w:val="24"/>
          <w:szCs w:val="24"/>
        </w:rPr>
      </w:pPr>
      <w:r>
        <w:rPr>
          <w:rFonts w:hint="eastAsia" w:hAnsi="宋体"/>
          <w:sz w:val="24"/>
          <w:szCs w:val="24"/>
        </w:rPr>
        <w:t>地    址：</w:t>
      </w:r>
      <w:r>
        <w:rPr>
          <w:rFonts w:hint="eastAsia" w:hAnsi="宋体"/>
          <w:sz w:val="24"/>
          <w:szCs w:val="24"/>
          <w:u w:val="single"/>
        </w:rPr>
        <w:t xml:space="preserve">        </w:t>
      </w:r>
      <w:r>
        <w:rPr>
          <w:rFonts w:hint="eastAsia" w:hAnsi="宋体"/>
          <w:sz w:val="24"/>
          <w:szCs w:val="24"/>
        </w:rPr>
        <w:t xml:space="preserve"> 法定代表人：</w:t>
      </w:r>
      <w:r>
        <w:rPr>
          <w:rFonts w:hint="eastAsia" w:hAnsi="宋体"/>
          <w:sz w:val="24"/>
          <w:szCs w:val="24"/>
          <w:u w:val="single"/>
        </w:rPr>
        <w:t xml:space="preserve">        </w:t>
      </w:r>
    </w:p>
    <w:p>
      <w:pPr>
        <w:snapToGrid w:val="0"/>
        <w:spacing w:line="360" w:lineRule="auto"/>
        <w:rPr>
          <w:rFonts w:hAnsi="宋体"/>
          <w:sz w:val="24"/>
          <w:szCs w:val="24"/>
        </w:rPr>
      </w:pPr>
      <w:r>
        <w:rPr>
          <w:rFonts w:hint="eastAsia" w:hAnsi="宋体"/>
          <w:sz w:val="24"/>
          <w:szCs w:val="24"/>
        </w:rPr>
        <w:t>受托人：</w:t>
      </w:r>
      <w:r>
        <w:rPr>
          <w:rFonts w:hint="eastAsia" w:hAnsi="宋体"/>
          <w:sz w:val="24"/>
          <w:szCs w:val="24"/>
          <w:u w:val="single"/>
        </w:rPr>
        <w:t xml:space="preserve">         </w:t>
      </w:r>
      <w:r>
        <w:rPr>
          <w:rFonts w:hint="eastAsia" w:hAnsi="宋体"/>
          <w:sz w:val="24"/>
          <w:szCs w:val="24"/>
        </w:rPr>
        <w:t>姓名</w:t>
      </w:r>
      <w:r>
        <w:rPr>
          <w:rFonts w:hint="eastAsia" w:hAnsi="宋体"/>
          <w:sz w:val="24"/>
          <w:szCs w:val="24"/>
          <w:u w:val="single"/>
        </w:rPr>
        <w:t xml:space="preserve">    </w:t>
      </w:r>
      <w:r>
        <w:rPr>
          <w:rFonts w:hint="eastAsia" w:hAnsi="宋体"/>
          <w:sz w:val="24"/>
          <w:szCs w:val="24"/>
        </w:rPr>
        <w:t>性别</w:t>
      </w:r>
      <w:r>
        <w:rPr>
          <w:rFonts w:hint="eastAsia" w:hAnsi="宋体"/>
          <w:sz w:val="24"/>
          <w:szCs w:val="24"/>
          <w:u w:val="single"/>
        </w:rPr>
        <w:t xml:space="preserve">    </w:t>
      </w:r>
      <w:r>
        <w:rPr>
          <w:rFonts w:hint="eastAsia" w:hAnsi="宋体"/>
          <w:sz w:val="24"/>
          <w:szCs w:val="24"/>
        </w:rPr>
        <w:t xml:space="preserve"> 出生日期：</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pPr>
        <w:snapToGrid w:val="0"/>
        <w:spacing w:line="360" w:lineRule="auto"/>
        <w:rPr>
          <w:rFonts w:hAnsi="宋体"/>
          <w:sz w:val="24"/>
          <w:szCs w:val="24"/>
        </w:rPr>
      </w:pPr>
      <w:r>
        <w:rPr>
          <w:rFonts w:hint="eastAsia" w:hAnsi="宋体"/>
          <w:sz w:val="24"/>
          <w:szCs w:val="24"/>
        </w:rPr>
        <w:t>所在单位：</w:t>
      </w:r>
      <w:r>
        <w:rPr>
          <w:rFonts w:hint="eastAsia" w:hAnsi="宋体"/>
          <w:sz w:val="24"/>
          <w:szCs w:val="24"/>
          <w:u w:val="single"/>
        </w:rPr>
        <w:t xml:space="preserve">      </w:t>
      </w:r>
      <w:r>
        <w:rPr>
          <w:rFonts w:hint="eastAsia" w:hAnsi="宋体"/>
          <w:sz w:val="24"/>
          <w:szCs w:val="24"/>
        </w:rPr>
        <w:t>职务：</w:t>
      </w:r>
      <w:r>
        <w:rPr>
          <w:rFonts w:hint="eastAsia" w:hAnsi="宋体"/>
          <w:sz w:val="24"/>
          <w:szCs w:val="24"/>
          <w:u w:val="single"/>
        </w:rPr>
        <w:t xml:space="preserve">      </w:t>
      </w:r>
    </w:p>
    <w:p>
      <w:pPr>
        <w:snapToGrid w:val="0"/>
        <w:spacing w:line="360" w:lineRule="auto"/>
        <w:rPr>
          <w:rFonts w:hAnsi="宋体"/>
          <w:sz w:val="24"/>
          <w:szCs w:val="24"/>
        </w:rPr>
      </w:pPr>
      <w:r>
        <w:rPr>
          <w:rFonts w:hint="eastAsia" w:hAnsi="宋体"/>
          <w:sz w:val="24"/>
          <w:szCs w:val="24"/>
        </w:rPr>
        <w:t>身份证：</w:t>
      </w:r>
      <w:r>
        <w:rPr>
          <w:rFonts w:hint="eastAsia" w:hAnsi="宋体"/>
          <w:sz w:val="24"/>
          <w:szCs w:val="24"/>
          <w:u w:val="single"/>
        </w:rPr>
        <w:t xml:space="preserve">      </w:t>
      </w:r>
      <w:r>
        <w:rPr>
          <w:rFonts w:hint="eastAsia" w:hAnsi="宋体"/>
          <w:sz w:val="24"/>
          <w:szCs w:val="24"/>
        </w:rPr>
        <w:t>联系方式:</w:t>
      </w:r>
      <w:r>
        <w:rPr>
          <w:rFonts w:hint="eastAsia" w:hAnsi="宋体"/>
          <w:sz w:val="24"/>
          <w:szCs w:val="24"/>
          <w:u w:val="single"/>
        </w:rPr>
        <w:t xml:space="preserve">      </w:t>
      </w:r>
    </w:p>
    <w:p>
      <w:pPr>
        <w:spacing w:line="360" w:lineRule="auto"/>
        <w:ind w:firstLine="425" w:firstLineChars="177"/>
        <w:rPr>
          <w:rFonts w:hAnsi="宋体"/>
          <w:sz w:val="24"/>
          <w:szCs w:val="24"/>
        </w:rPr>
      </w:pPr>
      <w:r>
        <w:rPr>
          <w:rFonts w:hint="eastAsia" w:hAnsi="宋体"/>
          <w:sz w:val="24"/>
          <w:szCs w:val="24"/>
        </w:rPr>
        <w:t>兹委托受托人合法地代表我单位参加南京审计大学组织的</w:t>
      </w:r>
      <w:r>
        <w:rPr>
          <w:rFonts w:hint="eastAsia" w:hAnsi="宋体"/>
          <w:sz w:val="24"/>
          <w:szCs w:val="24"/>
          <w:u w:val="single"/>
        </w:rPr>
        <w:t xml:space="preserve">    </w:t>
      </w:r>
      <w:r>
        <w:rPr>
          <w:rFonts w:hint="eastAsia" w:hAnsi="宋体"/>
          <w:sz w:val="24"/>
          <w:szCs w:val="24"/>
        </w:rPr>
        <w:t>（采购编号为：</w:t>
      </w:r>
      <w:r>
        <w:rPr>
          <w:rFonts w:hint="eastAsia" w:hAnsi="宋体"/>
          <w:sz w:val="24"/>
          <w:szCs w:val="24"/>
          <w:u w:val="single"/>
        </w:rPr>
        <w:t xml:space="preserve">      </w:t>
      </w:r>
      <w:r>
        <w:rPr>
          <w:rFonts w:hint="eastAsia" w:hAnsi="宋体"/>
          <w:sz w:val="24"/>
          <w:szCs w:val="24"/>
        </w:rPr>
        <w:t>）采购项目的竞争性谈判采购活动，受托人有权在该投标活动中，以我单位的名义签署竞争性谈判函和谈判文件，与采购人协商、澄清、解释，质疑，签订合同书并执行一切与此有关的事项。</w:t>
      </w:r>
    </w:p>
    <w:p>
      <w:pPr>
        <w:snapToGrid w:val="0"/>
        <w:spacing w:line="360" w:lineRule="auto"/>
        <w:rPr>
          <w:rFonts w:hAnsi="宋体" w:cs="宋体"/>
          <w:sz w:val="24"/>
          <w:szCs w:val="24"/>
        </w:rPr>
      </w:pPr>
      <w:r>
        <w:rPr>
          <w:rFonts w:hint="eastAsia" w:hAnsi="宋体"/>
          <w:sz w:val="24"/>
          <w:szCs w:val="24"/>
        </w:rPr>
        <w:t xml:space="preserve">    受托人在办理上述事宜过程中以其自己的名义所签署的所有文件我均予以承认。受托人无转委托权。</w:t>
      </w:r>
    </w:p>
    <w:p>
      <w:pPr>
        <w:snapToGrid w:val="0"/>
        <w:spacing w:line="360" w:lineRule="auto"/>
        <w:ind w:firstLine="480" w:firstLineChars="200"/>
        <w:rPr>
          <w:rFonts w:hAnsi="宋体"/>
          <w:sz w:val="24"/>
          <w:szCs w:val="24"/>
        </w:rPr>
      </w:pPr>
      <w:r>
        <w:rPr>
          <w:rFonts w:hint="eastAsia" w:hAnsi="宋体"/>
          <w:sz w:val="24"/>
          <w:szCs w:val="24"/>
        </w:rPr>
        <w:t>委托期限：至上述事宜处理完毕止。</w:t>
      </w:r>
    </w:p>
    <w:p>
      <w:pPr>
        <w:snapToGrid w:val="0"/>
        <w:spacing w:line="360" w:lineRule="auto"/>
        <w:rPr>
          <w:rFonts w:hAnsi="宋体"/>
          <w:sz w:val="24"/>
          <w:szCs w:val="24"/>
        </w:rPr>
      </w:pPr>
    </w:p>
    <w:p>
      <w:pPr>
        <w:snapToGrid w:val="0"/>
        <w:spacing w:line="360" w:lineRule="auto"/>
        <w:rPr>
          <w:rFonts w:hAnsi="宋体"/>
          <w:sz w:val="24"/>
          <w:szCs w:val="24"/>
          <w:u w:val="single"/>
        </w:rPr>
      </w:pPr>
      <w:r>
        <w:rPr>
          <w:rFonts w:hint="eastAsia" w:hAnsi="宋体"/>
          <w:sz w:val="24"/>
          <w:szCs w:val="24"/>
        </w:rPr>
        <w:t xml:space="preserve">委托单位   </w:t>
      </w:r>
      <w:r>
        <w:rPr>
          <w:rFonts w:hint="eastAsia" w:hAnsi="宋体"/>
          <w:sz w:val="24"/>
          <w:szCs w:val="24"/>
          <w:u w:val="single"/>
        </w:rPr>
        <w:t xml:space="preserve"> （公章）          </w:t>
      </w:r>
    </w:p>
    <w:p>
      <w:pPr>
        <w:snapToGrid w:val="0"/>
        <w:spacing w:line="360" w:lineRule="auto"/>
        <w:rPr>
          <w:rFonts w:hAnsi="宋体"/>
          <w:sz w:val="24"/>
          <w:szCs w:val="24"/>
          <w:u w:val="single"/>
        </w:rPr>
      </w:pPr>
      <w:r>
        <w:rPr>
          <w:rFonts w:hint="eastAsia" w:hAnsi="宋体"/>
          <w:sz w:val="24"/>
          <w:szCs w:val="24"/>
        </w:rPr>
        <w:t xml:space="preserve">法定代表人 </w:t>
      </w:r>
      <w:r>
        <w:rPr>
          <w:rFonts w:hint="eastAsia" w:hAnsi="宋体"/>
          <w:sz w:val="24"/>
          <w:szCs w:val="24"/>
          <w:u w:val="single"/>
        </w:rPr>
        <w:t xml:space="preserve"> （签名）          </w:t>
      </w:r>
    </w:p>
    <w:p>
      <w:pPr>
        <w:snapToGrid w:val="0"/>
        <w:spacing w:line="360" w:lineRule="auto"/>
        <w:rPr>
          <w:rFonts w:hAnsi="宋体"/>
          <w:sz w:val="24"/>
          <w:szCs w:val="24"/>
        </w:rPr>
      </w:pPr>
      <w:r>
        <w:rPr>
          <w:rFonts w:hint="eastAsia" w:hAnsi="宋体"/>
          <w:sz w:val="24"/>
          <w:szCs w:val="24"/>
        </w:rPr>
        <w:t>二〇一</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pPr>
        <w:snapToGrid w:val="0"/>
        <w:spacing w:line="360" w:lineRule="auto"/>
        <w:ind w:firstLine="480" w:firstLineChars="200"/>
        <w:rPr>
          <w:rFonts w:ascii="仿宋_GB2312" w:hAnsi="华文仿宋" w:eastAsia="仿宋_GB2312"/>
          <w:sz w:val="24"/>
          <w:szCs w:val="24"/>
        </w:rPr>
      </w:pPr>
      <w:r>
        <w:rPr>
          <w:rFonts w:hint="eastAsia" w:ascii="仿宋_GB2312" w:hAnsi="华文仿宋" w:eastAsia="仿宋_GB2312"/>
          <w:sz w:val="24"/>
          <w:szCs w:val="24"/>
        </w:rPr>
        <w:t>备注：</w:t>
      </w:r>
    </w:p>
    <w:p>
      <w:pPr>
        <w:snapToGrid w:val="0"/>
        <w:spacing w:line="360" w:lineRule="auto"/>
        <w:ind w:firstLine="480" w:firstLineChars="200"/>
        <w:rPr>
          <w:rFonts w:ascii="仿宋_GB2312" w:hAnsi="华文仿宋" w:eastAsia="仿宋_GB2312"/>
          <w:sz w:val="24"/>
          <w:szCs w:val="24"/>
        </w:rPr>
      </w:pPr>
      <w:r>
        <w:rPr>
          <w:rFonts w:hint="eastAsia" w:ascii="仿宋_GB2312" w:hAnsi="华文仿宋" w:eastAsia="仿宋_GB2312"/>
          <w:sz w:val="24"/>
          <w:szCs w:val="24"/>
        </w:rPr>
        <w:t>（1）谈判供应商授权代表须在谈判响应文件递交截止时间前持授权书原件及本人身份证件办理交纳保证金、签名报到、递交谈判响应文件等事宜，谈判响应文件中则附授权书复印件。</w:t>
      </w:r>
    </w:p>
    <w:p>
      <w:pPr>
        <w:wordWrap w:val="0"/>
        <w:spacing w:line="360" w:lineRule="auto"/>
        <w:jc w:val="right"/>
        <w:rPr>
          <w:rFonts w:ascii="仿宋_GB2312" w:hAnsi="华文仿宋" w:eastAsia="仿宋_GB2312"/>
          <w:sz w:val="24"/>
          <w:szCs w:val="24"/>
        </w:rPr>
      </w:pPr>
      <w:r>
        <w:rPr>
          <w:rFonts w:hint="eastAsia" w:ascii="仿宋_GB2312" w:hAnsi="华文仿宋" w:eastAsia="仿宋_GB2312"/>
          <w:sz w:val="24"/>
          <w:szCs w:val="24"/>
        </w:rPr>
        <w:t>（2）谈判供应商法定代表人直接参加谈判的，无须提供法人授权委托书，但须</w:t>
      </w:r>
    </w:p>
    <w:p>
      <w:pPr>
        <w:spacing w:line="360" w:lineRule="auto"/>
        <w:ind w:right="480"/>
        <w:rPr>
          <w:rFonts w:ascii="仿宋_GB2312" w:hAnsi="华文仿宋" w:eastAsia="仿宋_GB2312"/>
          <w:sz w:val="24"/>
          <w:szCs w:val="24"/>
        </w:rPr>
      </w:pPr>
      <w:r>
        <w:rPr>
          <w:rFonts w:hint="eastAsia" w:ascii="仿宋_GB2312" w:hAnsi="华文仿宋" w:eastAsia="仿宋_GB2312"/>
          <w:sz w:val="24"/>
          <w:szCs w:val="24"/>
        </w:rPr>
        <w:t>持本人身份证及营业执照复印件办理相关手续。</w:t>
      </w:r>
    </w:p>
    <w:p>
      <w:pPr>
        <w:pStyle w:val="4"/>
        <w:spacing w:line="360" w:lineRule="auto"/>
        <w:rPr>
          <w:rFonts w:hAnsi="宋体"/>
        </w:rPr>
      </w:pPr>
      <w:bookmarkStart w:id="109" w:name="_Toc24153"/>
      <w:r>
        <w:rPr>
          <w:rFonts w:hint="eastAsia" w:hAnsi="宋体"/>
        </w:rPr>
        <w:t>3.其他</w:t>
      </w:r>
      <w:bookmarkEnd w:id="109"/>
    </w:p>
    <w:p>
      <w:pPr>
        <w:snapToGrid w:val="0"/>
        <w:spacing w:line="360" w:lineRule="auto"/>
        <w:ind w:firstLine="480" w:firstLineChars="200"/>
        <w:rPr>
          <w:rFonts w:hAnsi="宋体"/>
          <w:sz w:val="24"/>
          <w:szCs w:val="24"/>
        </w:rPr>
      </w:pPr>
      <w:r>
        <w:rPr>
          <w:rFonts w:hint="eastAsia" w:hAnsi="宋体"/>
          <w:sz w:val="24"/>
          <w:szCs w:val="24"/>
        </w:rPr>
        <w:t>（企业资质证书、获奖证书等谈判供应商认为有必要提供的其它内容，格式自定）</w:t>
      </w:r>
    </w:p>
    <w:p>
      <w:pPr>
        <w:spacing w:line="360" w:lineRule="auto"/>
        <w:rPr>
          <w:rFonts w:hAnsi="宋体"/>
          <w:b/>
          <w:i/>
          <w:sz w:val="24"/>
          <w:szCs w:val="24"/>
        </w:rPr>
      </w:pPr>
    </w:p>
    <w:p>
      <w:pPr>
        <w:spacing w:line="360" w:lineRule="auto"/>
        <w:rPr>
          <w:rFonts w:hAnsi="宋体"/>
          <w:b/>
          <w:sz w:val="24"/>
          <w:szCs w:val="24"/>
        </w:rPr>
      </w:pPr>
      <w:r>
        <w:rPr>
          <w:rFonts w:hint="eastAsia" w:hAnsi="宋体"/>
          <w:b/>
          <w:i/>
          <w:sz w:val="24"/>
          <w:szCs w:val="24"/>
        </w:rPr>
        <w:t>注：1、2、3项为必须提供的内容，须授权代表签字并加盖谈判供应商单位公章，未提供或未按要求提供将不能通过资格性审查。</w:t>
      </w:r>
    </w:p>
    <w:sectPr>
      <w:footerReference r:id="rId3" w:type="default"/>
      <w:footerReference r:id="rId4" w:type="even"/>
      <w:pgSz w:w="11906" w:h="16838"/>
      <w:pgMar w:top="1440" w:right="1797" w:bottom="1440" w:left="1797"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Tahoma">
    <w:panose1 w:val="020B0604030504040204"/>
    <w:charset w:val="00"/>
    <w:family w:val="swiss"/>
    <w:pitch w:val="default"/>
    <w:sig w:usb0="61007A87" w:usb1="80000000" w:usb2="00000008" w:usb3="00000000" w:csb0="200101FF" w:csb1="20280000"/>
  </w:font>
  <w:font w:name="Verdana">
    <w:panose1 w:val="020B0604030504040204"/>
    <w:charset w:val="00"/>
    <w:family w:val="swiss"/>
    <w:pitch w:val="default"/>
    <w:sig w:usb0="00000287" w:usb1="00000000" w:usb2="00000000" w:usb3="00000000" w:csb0="2000019F" w:csb1="00000000"/>
  </w:font>
  <w:font w:name="华文宋体">
    <w:altName w:val="宋体"/>
    <w:panose1 w:val="02010600040101010101"/>
    <w:charset w:val="86"/>
    <w:family w:val="auto"/>
    <w:pitch w:val="default"/>
    <w:sig w:usb0="00000000" w:usb1="00000000" w:usb2="00000010" w:usb3="00000000" w:csb0="0004009F" w:csb1="00000000"/>
  </w:font>
  <w:font w:name="华文仿宋">
    <w:altName w:val="仿宋_GB2312"/>
    <w:panose1 w:val="02010600040101010101"/>
    <w:charset w:val="86"/>
    <w:family w:val="auto"/>
    <w:pitch w:val="default"/>
    <w:sig w:usb0="00000000" w:usb1="00000000" w:usb2="00000010" w:usb3="00000000" w:csb0="000400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Courier Ne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1"/>
      </w:rPr>
    </w:pPr>
    <w:r>
      <w:fldChar w:fldCharType="begin"/>
    </w:r>
    <w:r>
      <w:rPr>
        <w:rStyle w:val="41"/>
      </w:rPr>
      <w:instrText xml:space="preserve">PAGE  </w:instrText>
    </w:r>
    <w:r>
      <w:fldChar w:fldCharType="separate"/>
    </w:r>
    <w:r>
      <w:rPr>
        <w:rStyle w:val="41"/>
      </w:rPr>
      <w:t>6</w:t>
    </w:r>
    <w:r>
      <w:fldChar w:fldCharType="end"/>
    </w:r>
  </w:p>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1"/>
      </w:rPr>
    </w:pPr>
    <w:r>
      <w:fldChar w:fldCharType="begin"/>
    </w:r>
    <w:r>
      <w:rPr>
        <w:rStyle w:val="41"/>
      </w:rPr>
      <w:instrText xml:space="preserve">PAGE  </w:instrText>
    </w:r>
    <w:r>
      <w:fldChar w:fldCharType="separate"/>
    </w:r>
    <w:r>
      <w:rPr>
        <w:rStyle w:val="41"/>
      </w:rPr>
      <w:t>23</w:t>
    </w:r>
    <w:r>
      <w:fldChar w:fldCharType="end"/>
    </w:r>
  </w:p>
  <w:p>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4646DA"/>
    <w:multiLevelType w:val="multilevel"/>
    <w:tmpl w:val="794646DA"/>
    <w:lvl w:ilvl="0" w:tentative="0">
      <w:start w:val="1"/>
      <w:numFmt w:val="japaneseCounting"/>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0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408"/>
    <w:rsid w:val="00000065"/>
    <w:rsid w:val="00002458"/>
    <w:rsid w:val="00002888"/>
    <w:rsid w:val="00003B6F"/>
    <w:rsid w:val="000051E4"/>
    <w:rsid w:val="00007DE1"/>
    <w:rsid w:val="00012483"/>
    <w:rsid w:val="00016E67"/>
    <w:rsid w:val="0002058B"/>
    <w:rsid w:val="00020D86"/>
    <w:rsid w:val="00021BE9"/>
    <w:rsid w:val="00024677"/>
    <w:rsid w:val="00025516"/>
    <w:rsid w:val="00037464"/>
    <w:rsid w:val="000409D8"/>
    <w:rsid w:val="000417E8"/>
    <w:rsid w:val="000423BE"/>
    <w:rsid w:val="00043033"/>
    <w:rsid w:val="000434BE"/>
    <w:rsid w:val="00046453"/>
    <w:rsid w:val="00047302"/>
    <w:rsid w:val="000503B6"/>
    <w:rsid w:val="000504A1"/>
    <w:rsid w:val="000504B7"/>
    <w:rsid w:val="000510B4"/>
    <w:rsid w:val="00053475"/>
    <w:rsid w:val="00053BB1"/>
    <w:rsid w:val="00054A1B"/>
    <w:rsid w:val="0005501E"/>
    <w:rsid w:val="0006050A"/>
    <w:rsid w:val="00063625"/>
    <w:rsid w:val="0006570C"/>
    <w:rsid w:val="0007625E"/>
    <w:rsid w:val="0008008B"/>
    <w:rsid w:val="000812AA"/>
    <w:rsid w:val="000846DE"/>
    <w:rsid w:val="000856A0"/>
    <w:rsid w:val="000865DD"/>
    <w:rsid w:val="00086741"/>
    <w:rsid w:val="0008740B"/>
    <w:rsid w:val="00090DC8"/>
    <w:rsid w:val="00090F5C"/>
    <w:rsid w:val="00091E38"/>
    <w:rsid w:val="00095CDA"/>
    <w:rsid w:val="000A0BA8"/>
    <w:rsid w:val="000A1DD0"/>
    <w:rsid w:val="000A2D68"/>
    <w:rsid w:val="000A644C"/>
    <w:rsid w:val="000A70F3"/>
    <w:rsid w:val="000B79BF"/>
    <w:rsid w:val="000C25E1"/>
    <w:rsid w:val="000C27B6"/>
    <w:rsid w:val="000C42B8"/>
    <w:rsid w:val="000C5D77"/>
    <w:rsid w:val="000C7454"/>
    <w:rsid w:val="000C7A99"/>
    <w:rsid w:val="000D01E7"/>
    <w:rsid w:val="000D44BF"/>
    <w:rsid w:val="000E4A7F"/>
    <w:rsid w:val="000E707C"/>
    <w:rsid w:val="0010319E"/>
    <w:rsid w:val="00104058"/>
    <w:rsid w:val="00112B60"/>
    <w:rsid w:val="00113B1F"/>
    <w:rsid w:val="001179E5"/>
    <w:rsid w:val="00117E42"/>
    <w:rsid w:val="00117FC1"/>
    <w:rsid w:val="001206AE"/>
    <w:rsid w:val="0012143F"/>
    <w:rsid w:val="00121701"/>
    <w:rsid w:val="00123646"/>
    <w:rsid w:val="00124396"/>
    <w:rsid w:val="00126419"/>
    <w:rsid w:val="00127F12"/>
    <w:rsid w:val="001336CE"/>
    <w:rsid w:val="00134518"/>
    <w:rsid w:val="00135D93"/>
    <w:rsid w:val="001408C2"/>
    <w:rsid w:val="00143488"/>
    <w:rsid w:val="00143A90"/>
    <w:rsid w:val="00146B77"/>
    <w:rsid w:val="0014720C"/>
    <w:rsid w:val="0015065C"/>
    <w:rsid w:val="00153AA0"/>
    <w:rsid w:val="00156F42"/>
    <w:rsid w:val="00161F3E"/>
    <w:rsid w:val="00162445"/>
    <w:rsid w:val="00164DC5"/>
    <w:rsid w:val="0017730F"/>
    <w:rsid w:val="00181085"/>
    <w:rsid w:val="00182B3B"/>
    <w:rsid w:val="00184598"/>
    <w:rsid w:val="0018587F"/>
    <w:rsid w:val="00185A1C"/>
    <w:rsid w:val="00186F2B"/>
    <w:rsid w:val="001877DB"/>
    <w:rsid w:val="00196CC8"/>
    <w:rsid w:val="001A5856"/>
    <w:rsid w:val="001A7722"/>
    <w:rsid w:val="001B0A0C"/>
    <w:rsid w:val="001B3013"/>
    <w:rsid w:val="001B4931"/>
    <w:rsid w:val="001B4B75"/>
    <w:rsid w:val="001B60F9"/>
    <w:rsid w:val="001B6246"/>
    <w:rsid w:val="001B6834"/>
    <w:rsid w:val="001B6CFB"/>
    <w:rsid w:val="001C091E"/>
    <w:rsid w:val="001C2CE0"/>
    <w:rsid w:val="001C4EAC"/>
    <w:rsid w:val="001D04B4"/>
    <w:rsid w:val="001D1033"/>
    <w:rsid w:val="001D4A41"/>
    <w:rsid w:val="001D5DFE"/>
    <w:rsid w:val="001F0608"/>
    <w:rsid w:val="001F1F9E"/>
    <w:rsid w:val="0020605D"/>
    <w:rsid w:val="002072A9"/>
    <w:rsid w:val="00207375"/>
    <w:rsid w:val="0021344D"/>
    <w:rsid w:val="00217832"/>
    <w:rsid w:val="002222EB"/>
    <w:rsid w:val="002239C9"/>
    <w:rsid w:val="002248ED"/>
    <w:rsid w:val="00236265"/>
    <w:rsid w:val="002362AC"/>
    <w:rsid w:val="00241684"/>
    <w:rsid w:val="00244F54"/>
    <w:rsid w:val="002455EF"/>
    <w:rsid w:val="002613E0"/>
    <w:rsid w:val="00261DCF"/>
    <w:rsid w:val="00264230"/>
    <w:rsid w:val="002646EA"/>
    <w:rsid w:val="00266BEC"/>
    <w:rsid w:val="00266D98"/>
    <w:rsid w:val="00267A5B"/>
    <w:rsid w:val="00267FD4"/>
    <w:rsid w:val="00273530"/>
    <w:rsid w:val="002756FB"/>
    <w:rsid w:val="00275F43"/>
    <w:rsid w:val="00280394"/>
    <w:rsid w:val="00281979"/>
    <w:rsid w:val="00283BC4"/>
    <w:rsid w:val="00291A3C"/>
    <w:rsid w:val="00292D7B"/>
    <w:rsid w:val="00293FFD"/>
    <w:rsid w:val="0029485E"/>
    <w:rsid w:val="002955EA"/>
    <w:rsid w:val="002A3944"/>
    <w:rsid w:val="002A53AE"/>
    <w:rsid w:val="002B066A"/>
    <w:rsid w:val="002B211A"/>
    <w:rsid w:val="002C26B2"/>
    <w:rsid w:val="002C36B3"/>
    <w:rsid w:val="002C454D"/>
    <w:rsid w:val="002D04D7"/>
    <w:rsid w:val="002D0B34"/>
    <w:rsid w:val="002D3DB1"/>
    <w:rsid w:val="002D51D8"/>
    <w:rsid w:val="002D7099"/>
    <w:rsid w:val="002E1BB1"/>
    <w:rsid w:val="002E4945"/>
    <w:rsid w:val="002E7EB7"/>
    <w:rsid w:val="002F0ED5"/>
    <w:rsid w:val="002F307E"/>
    <w:rsid w:val="002F3E1C"/>
    <w:rsid w:val="002F4677"/>
    <w:rsid w:val="002F7220"/>
    <w:rsid w:val="00301E78"/>
    <w:rsid w:val="003033A8"/>
    <w:rsid w:val="003076BC"/>
    <w:rsid w:val="00311C5D"/>
    <w:rsid w:val="003138CD"/>
    <w:rsid w:val="00313935"/>
    <w:rsid w:val="003164CD"/>
    <w:rsid w:val="003172AF"/>
    <w:rsid w:val="003214EE"/>
    <w:rsid w:val="003243E0"/>
    <w:rsid w:val="00325247"/>
    <w:rsid w:val="00325860"/>
    <w:rsid w:val="00326DA3"/>
    <w:rsid w:val="003310D4"/>
    <w:rsid w:val="00333382"/>
    <w:rsid w:val="00336580"/>
    <w:rsid w:val="00344504"/>
    <w:rsid w:val="0035630D"/>
    <w:rsid w:val="00357BEC"/>
    <w:rsid w:val="0036230B"/>
    <w:rsid w:val="00363C1A"/>
    <w:rsid w:val="00366002"/>
    <w:rsid w:val="0037294F"/>
    <w:rsid w:val="00372B19"/>
    <w:rsid w:val="003754B4"/>
    <w:rsid w:val="00376045"/>
    <w:rsid w:val="003830BE"/>
    <w:rsid w:val="00384655"/>
    <w:rsid w:val="003853E1"/>
    <w:rsid w:val="003858C4"/>
    <w:rsid w:val="003A218A"/>
    <w:rsid w:val="003A2948"/>
    <w:rsid w:val="003A3921"/>
    <w:rsid w:val="003B2555"/>
    <w:rsid w:val="003B774F"/>
    <w:rsid w:val="003C0497"/>
    <w:rsid w:val="003C084E"/>
    <w:rsid w:val="003C2999"/>
    <w:rsid w:val="003C2C73"/>
    <w:rsid w:val="003C70F8"/>
    <w:rsid w:val="003D2099"/>
    <w:rsid w:val="003E0D56"/>
    <w:rsid w:val="003F19F2"/>
    <w:rsid w:val="003F1C36"/>
    <w:rsid w:val="003F2C33"/>
    <w:rsid w:val="003F2DC0"/>
    <w:rsid w:val="003F6751"/>
    <w:rsid w:val="00402253"/>
    <w:rsid w:val="004063B8"/>
    <w:rsid w:val="00406F8E"/>
    <w:rsid w:val="004156C7"/>
    <w:rsid w:val="00420894"/>
    <w:rsid w:val="00426D09"/>
    <w:rsid w:val="00431CCB"/>
    <w:rsid w:val="00435F34"/>
    <w:rsid w:val="004371DB"/>
    <w:rsid w:val="00443AD7"/>
    <w:rsid w:val="004443E2"/>
    <w:rsid w:val="00444CC1"/>
    <w:rsid w:val="00445449"/>
    <w:rsid w:val="00445A2F"/>
    <w:rsid w:val="00450B28"/>
    <w:rsid w:val="00454882"/>
    <w:rsid w:val="0045584D"/>
    <w:rsid w:val="00457861"/>
    <w:rsid w:val="00460293"/>
    <w:rsid w:val="004615D3"/>
    <w:rsid w:val="00463824"/>
    <w:rsid w:val="00463AF4"/>
    <w:rsid w:val="004640FF"/>
    <w:rsid w:val="0047003B"/>
    <w:rsid w:val="00470E28"/>
    <w:rsid w:val="00476CB5"/>
    <w:rsid w:val="00484175"/>
    <w:rsid w:val="0048647D"/>
    <w:rsid w:val="004870EA"/>
    <w:rsid w:val="00487FBD"/>
    <w:rsid w:val="004915AA"/>
    <w:rsid w:val="004A0D12"/>
    <w:rsid w:val="004A400A"/>
    <w:rsid w:val="004A5A87"/>
    <w:rsid w:val="004B46BA"/>
    <w:rsid w:val="004B7FE9"/>
    <w:rsid w:val="004C0847"/>
    <w:rsid w:val="004C0C3F"/>
    <w:rsid w:val="004C1725"/>
    <w:rsid w:val="004C18B1"/>
    <w:rsid w:val="004C21E7"/>
    <w:rsid w:val="004C6780"/>
    <w:rsid w:val="004C67BE"/>
    <w:rsid w:val="004C7726"/>
    <w:rsid w:val="004D16F3"/>
    <w:rsid w:val="004D6BA8"/>
    <w:rsid w:val="004D784B"/>
    <w:rsid w:val="004D7A59"/>
    <w:rsid w:val="004F0B13"/>
    <w:rsid w:val="004F5A4C"/>
    <w:rsid w:val="004F6BB0"/>
    <w:rsid w:val="004F7CB2"/>
    <w:rsid w:val="0050158A"/>
    <w:rsid w:val="00503DB4"/>
    <w:rsid w:val="005048BA"/>
    <w:rsid w:val="00504B55"/>
    <w:rsid w:val="00511780"/>
    <w:rsid w:val="005126CF"/>
    <w:rsid w:val="00512D99"/>
    <w:rsid w:val="00513204"/>
    <w:rsid w:val="00516F6B"/>
    <w:rsid w:val="00522915"/>
    <w:rsid w:val="005245B0"/>
    <w:rsid w:val="00525663"/>
    <w:rsid w:val="0052696C"/>
    <w:rsid w:val="00527BFE"/>
    <w:rsid w:val="005367F4"/>
    <w:rsid w:val="00537DEB"/>
    <w:rsid w:val="005423B9"/>
    <w:rsid w:val="0054370C"/>
    <w:rsid w:val="00551871"/>
    <w:rsid w:val="005612E0"/>
    <w:rsid w:val="00562EEE"/>
    <w:rsid w:val="00570773"/>
    <w:rsid w:val="00572F69"/>
    <w:rsid w:val="00574D7E"/>
    <w:rsid w:val="005765B8"/>
    <w:rsid w:val="00581845"/>
    <w:rsid w:val="005820BE"/>
    <w:rsid w:val="00584936"/>
    <w:rsid w:val="00586691"/>
    <w:rsid w:val="00590E06"/>
    <w:rsid w:val="00593477"/>
    <w:rsid w:val="005947EE"/>
    <w:rsid w:val="005A3EE4"/>
    <w:rsid w:val="005B0E9D"/>
    <w:rsid w:val="005B2337"/>
    <w:rsid w:val="005B3A58"/>
    <w:rsid w:val="005B3D47"/>
    <w:rsid w:val="005B3F9D"/>
    <w:rsid w:val="005B4164"/>
    <w:rsid w:val="005C5105"/>
    <w:rsid w:val="005C7437"/>
    <w:rsid w:val="005D4834"/>
    <w:rsid w:val="005D6DC1"/>
    <w:rsid w:val="005E1996"/>
    <w:rsid w:val="005E73DF"/>
    <w:rsid w:val="005F074B"/>
    <w:rsid w:val="005F2359"/>
    <w:rsid w:val="005F2C6A"/>
    <w:rsid w:val="005F2FBF"/>
    <w:rsid w:val="00600520"/>
    <w:rsid w:val="0060087B"/>
    <w:rsid w:val="00601CA2"/>
    <w:rsid w:val="006049D2"/>
    <w:rsid w:val="00604A93"/>
    <w:rsid w:val="00605CB4"/>
    <w:rsid w:val="00605EC1"/>
    <w:rsid w:val="006076B7"/>
    <w:rsid w:val="00610010"/>
    <w:rsid w:val="00611265"/>
    <w:rsid w:val="00611F1D"/>
    <w:rsid w:val="00613CB8"/>
    <w:rsid w:val="006209FC"/>
    <w:rsid w:val="00620F77"/>
    <w:rsid w:val="00621EBE"/>
    <w:rsid w:val="00621ECB"/>
    <w:rsid w:val="006231C0"/>
    <w:rsid w:val="00626D07"/>
    <w:rsid w:val="00632EAC"/>
    <w:rsid w:val="006356F7"/>
    <w:rsid w:val="00637B67"/>
    <w:rsid w:val="00642D4F"/>
    <w:rsid w:val="006501E3"/>
    <w:rsid w:val="00650C33"/>
    <w:rsid w:val="006527F9"/>
    <w:rsid w:val="00654B4A"/>
    <w:rsid w:val="006550AC"/>
    <w:rsid w:val="00655C9F"/>
    <w:rsid w:val="00657F11"/>
    <w:rsid w:val="006627D6"/>
    <w:rsid w:val="006669DC"/>
    <w:rsid w:val="00666F89"/>
    <w:rsid w:val="006706C4"/>
    <w:rsid w:val="00670836"/>
    <w:rsid w:val="00672630"/>
    <w:rsid w:val="006732DC"/>
    <w:rsid w:val="00673557"/>
    <w:rsid w:val="00675648"/>
    <w:rsid w:val="006819E4"/>
    <w:rsid w:val="006821D7"/>
    <w:rsid w:val="0068360B"/>
    <w:rsid w:val="006836A9"/>
    <w:rsid w:val="006848D2"/>
    <w:rsid w:val="0068495C"/>
    <w:rsid w:val="006862F0"/>
    <w:rsid w:val="006901E9"/>
    <w:rsid w:val="006903AF"/>
    <w:rsid w:val="006A0C4A"/>
    <w:rsid w:val="006A1298"/>
    <w:rsid w:val="006A3D7A"/>
    <w:rsid w:val="006A7BA9"/>
    <w:rsid w:val="006B033B"/>
    <w:rsid w:val="006B2390"/>
    <w:rsid w:val="006B276C"/>
    <w:rsid w:val="006C0CB8"/>
    <w:rsid w:val="006C721D"/>
    <w:rsid w:val="006C7F7B"/>
    <w:rsid w:val="006D0399"/>
    <w:rsid w:val="006D5072"/>
    <w:rsid w:val="006E6970"/>
    <w:rsid w:val="006F2A5E"/>
    <w:rsid w:val="006F5915"/>
    <w:rsid w:val="0070249D"/>
    <w:rsid w:val="00703511"/>
    <w:rsid w:val="007066FD"/>
    <w:rsid w:val="00713F11"/>
    <w:rsid w:val="007144E5"/>
    <w:rsid w:val="007151CB"/>
    <w:rsid w:val="00720DEF"/>
    <w:rsid w:val="007231F3"/>
    <w:rsid w:val="007238C7"/>
    <w:rsid w:val="007251DC"/>
    <w:rsid w:val="00730720"/>
    <w:rsid w:val="00731888"/>
    <w:rsid w:val="00733157"/>
    <w:rsid w:val="00734B5F"/>
    <w:rsid w:val="00734DD7"/>
    <w:rsid w:val="00736F63"/>
    <w:rsid w:val="00740CAD"/>
    <w:rsid w:val="00740DAD"/>
    <w:rsid w:val="00742066"/>
    <w:rsid w:val="00742B22"/>
    <w:rsid w:val="00743069"/>
    <w:rsid w:val="007431A8"/>
    <w:rsid w:val="007457BD"/>
    <w:rsid w:val="0074656C"/>
    <w:rsid w:val="00751860"/>
    <w:rsid w:val="0075505E"/>
    <w:rsid w:val="007565C3"/>
    <w:rsid w:val="00763C1A"/>
    <w:rsid w:val="007652BD"/>
    <w:rsid w:val="007670FF"/>
    <w:rsid w:val="00771C0B"/>
    <w:rsid w:val="00774018"/>
    <w:rsid w:val="00774B08"/>
    <w:rsid w:val="007835E1"/>
    <w:rsid w:val="00783BBC"/>
    <w:rsid w:val="0079122B"/>
    <w:rsid w:val="00791D14"/>
    <w:rsid w:val="007A4441"/>
    <w:rsid w:val="007A4D34"/>
    <w:rsid w:val="007A58F7"/>
    <w:rsid w:val="007B0714"/>
    <w:rsid w:val="007B656D"/>
    <w:rsid w:val="007C203E"/>
    <w:rsid w:val="007C76C1"/>
    <w:rsid w:val="007D1EA0"/>
    <w:rsid w:val="007D308A"/>
    <w:rsid w:val="007D4A6A"/>
    <w:rsid w:val="007E072B"/>
    <w:rsid w:val="007E0B32"/>
    <w:rsid w:val="007E3708"/>
    <w:rsid w:val="007E4A7D"/>
    <w:rsid w:val="007E544A"/>
    <w:rsid w:val="007E5B9E"/>
    <w:rsid w:val="007F0AF2"/>
    <w:rsid w:val="008028BA"/>
    <w:rsid w:val="00803182"/>
    <w:rsid w:val="0080428C"/>
    <w:rsid w:val="00804A28"/>
    <w:rsid w:val="0081451C"/>
    <w:rsid w:val="0081457C"/>
    <w:rsid w:val="00815D3E"/>
    <w:rsid w:val="0081634E"/>
    <w:rsid w:val="00817B2E"/>
    <w:rsid w:val="0082229A"/>
    <w:rsid w:val="008233A0"/>
    <w:rsid w:val="00824A2E"/>
    <w:rsid w:val="00827C7F"/>
    <w:rsid w:val="00830580"/>
    <w:rsid w:val="008323A3"/>
    <w:rsid w:val="008348B7"/>
    <w:rsid w:val="00837CF0"/>
    <w:rsid w:val="00837F90"/>
    <w:rsid w:val="00844DD3"/>
    <w:rsid w:val="0085263B"/>
    <w:rsid w:val="00853294"/>
    <w:rsid w:val="00860322"/>
    <w:rsid w:val="008628AF"/>
    <w:rsid w:val="00867F56"/>
    <w:rsid w:val="008717A6"/>
    <w:rsid w:val="0087212B"/>
    <w:rsid w:val="008721F9"/>
    <w:rsid w:val="00874BF7"/>
    <w:rsid w:val="00876276"/>
    <w:rsid w:val="008778E7"/>
    <w:rsid w:val="008871A0"/>
    <w:rsid w:val="008A12A0"/>
    <w:rsid w:val="008A2AFF"/>
    <w:rsid w:val="008A5487"/>
    <w:rsid w:val="008A6AD5"/>
    <w:rsid w:val="008B107C"/>
    <w:rsid w:val="008B13F3"/>
    <w:rsid w:val="008B1B8B"/>
    <w:rsid w:val="008B1D38"/>
    <w:rsid w:val="008B62E2"/>
    <w:rsid w:val="008C205D"/>
    <w:rsid w:val="008C2A42"/>
    <w:rsid w:val="008C3286"/>
    <w:rsid w:val="008C4862"/>
    <w:rsid w:val="008C504E"/>
    <w:rsid w:val="008C5C1B"/>
    <w:rsid w:val="008D3258"/>
    <w:rsid w:val="008D47E4"/>
    <w:rsid w:val="008D4E88"/>
    <w:rsid w:val="008D6936"/>
    <w:rsid w:val="008D784A"/>
    <w:rsid w:val="008D7B59"/>
    <w:rsid w:val="008D7DB2"/>
    <w:rsid w:val="008E61D8"/>
    <w:rsid w:val="008F31F7"/>
    <w:rsid w:val="008F5727"/>
    <w:rsid w:val="008F6DA8"/>
    <w:rsid w:val="009021CF"/>
    <w:rsid w:val="0090295F"/>
    <w:rsid w:val="00906C55"/>
    <w:rsid w:val="00910225"/>
    <w:rsid w:val="0091536E"/>
    <w:rsid w:val="00916A10"/>
    <w:rsid w:val="00920451"/>
    <w:rsid w:val="00920E8B"/>
    <w:rsid w:val="00922A89"/>
    <w:rsid w:val="009247E8"/>
    <w:rsid w:val="00924EC9"/>
    <w:rsid w:val="009255F2"/>
    <w:rsid w:val="00925EAE"/>
    <w:rsid w:val="009264BF"/>
    <w:rsid w:val="009279F4"/>
    <w:rsid w:val="00935417"/>
    <w:rsid w:val="00940CFA"/>
    <w:rsid w:val="00940D3A"/>
    <w:rsid w:val="0094716F"/>
    <w:rsid w:val="00951E9B"/>
    <w:rsid w:val="009613B4"/>
    <w:rsid w:val="00964EF9"/>
    <w:rsid w:val="00965BFF"/>
    <w:rsid w:val="00967F86"/>
    <w:rsid w:val="009700B5"/>
    <w:rsid w:val="009704AB"/>
    <w:rsid w:val="00971B31"/>
    <w:rsid w:val="00971D77"/>
    <w:rsid w:val="009745F1"/>
    <w:rsid w:val="00975F2D"/>
    <w:rsid w:val="00976CB6"/>
    <w:rsid w:val="00976CCD"/>
    <w:rsid w:val="009815FD"/>
    <w:rsid w:val="0098587F"/>
    <w:rsid w:val="00986716"/>
    <w:rsid w:val="00986CAC"/>
    <w:rsid w:val="00986EC9"/>
    <w:rsid w:val="0098779D"/>
    <w:rsid w:val="009910FE"/>
    <w:rsid w:val="009916DC"/>
    <w:rsid w:val="00992A9E"/>
    <w:rsid w:val="009942E0"/>
    <w:rsid w:val="0099510C"/>
    <w:rsid w:val="009A023A"/>
    <w:rsid w:val="009A0F72"/>
    <w:rsid w:val="009A22F2"/>
    <w:rsid w:val="009A742F"/>
    <w:rsid w:val="009B0E89"/>
    <w:rsid w:val="009B27CE"/>
    <w:rsid w:val="009B387E"/>
    <w:rsid w:val="009B6CAC"/>
    <w:rsid w:val="009C026A"/>
    <w:rsid w:val="009C0B5F"/>
    <w:rsid w:val="009C195B"/>
    <w:rsid w:val="009C3972"/>
    <w:rsid w:val="009C4AF3"/>
    <w:rsid w:val="009C7126"/>
    <w:rsid w:val="009C7D9B"/>
    <w:rsid w:val="009D109E"/>
    <w:rsid w:val="009D5C7F"/>
    <w:rsid w:val="009E5B9F"/>
    <w:rsid w:val="009E6788"/>
    <w:rsid w:val="009F29CB"/>
    <w:rsid w:val="009F3BFE"/>
    <w:rsid w:val="009F4175"/>
    <w:rsid w:val="009F6A8D"/>
    <w:rsid w:val="009F7A65"/>
    <w:rsid w:val="00A00254"/>
    <w:rsid w:val="00A03804"/>
    <w:rsid w:val="00A04F8D"/>
    <w:rsid w:val="00A12668"/>
    <w:rsid w:val="00A151E1"/>
    <w:rsid w:val="00A227D0"/>
    <w:rsid w:val="00A26AA0"/>
    <w:rsid w:val="00A26BDC"/>
    <w:rsid w:val="00A27FBC"/>
    <w:rsid w:val="00A34BB9"/>
    <w:rsid w:val="00A375C4"/>
    <w:rsid w:val="00A40473"/>
    <w:rsid w:val="00A467BE"/>
    <w:rsid w:val="00A5444D"/>
    <w:rsid w:val="00A55CE4"/>
    <w:rsid w:val="00A5619F"/>
    <w:rsid w:val="00A56598"/>
    <w:rsid w:val="00A60301"/>
    <w:rsid w:val="00A6153F"/>
    <w:rsid w:val="00A627BA"/>
    <w:rsid w:val="00A632BD"/>
    <w:rsid w:val="00A63A15"/>
    <w:rsid w:val="00A63E56"/>
    <w:rsid w:val="00A64533"/>
    <w:rsid w:val="00A64F21"/>
    <w:rsid w:val="00A70E2F"/>
    <w:rsid w:val="00A72396"/>
    <w:rsid w:val="00A73504"/>
    <w:rsid w:val="00A73B15"/>
    <w:rsid w:val="00A740FD"/>
    <w:rsid w:val="00A81C4E"/>
    <w:rsid w:val="00A8244F"/>
    <w:rsid w:val="00A83758"/>
    <w:rsid w:val="00A83862"/>
    <w:rsid w:val="00A844E6"/>
    <w:rsid w:val="00A875FA"/>
    <w:rsid w:val="00A90B59"/>
    <w:rsid w:val="00A944E5"/>
    <w:rsid w:val="00A97F49"/>
    <w:rsid w:val="00AA1840"/>
    <w:rsid w:val="00AB1603"/>
    <w:rsid w:val="00AB324E"/>
    <w:rsid w:val="00AB4B9F"/>
    <w:rsid w:val="00AB6EB1"/>
    <w:rsid w:val="00AC3563"/>
    <w:rsid w:val="00AC5B1C"/>
    <w:rsid w:val="00AD064E"/>
    <w:rsid w:val="00AD1257"/>
    <w:rsid w:val="00AD2866"/>
    <w:rsid w:val="00AD31D4"/>
    <w:rsid w:val="00AD4701"/>
    <w:rsid w:val="00AD764D"/>
    <w:rsid w:val="00AE0608"/>
    <w:rsid w:val="00AE2A85"/>
    <w:rsid w:val="00AE3C78"/>
    <w:rsid w:val="00AE79ED"/>
    <w:rsid w:val="00AF059F"/>
    <w:rsid w:val="00AF065B"/>
    <w:rsid w:val="00AF2323"/>
    <w:rsid w:val="00AF2698"/>
    <w:rsid w:val="00AF2B86"/>
    <w:rsid w:val="00AF4FF1"/>
    <w:rsid w:val="00AF563B"/>
    <w:rsid w:val="00B00F9F"/>
    <w:rsid w:val="00B017FC"/>
    <w:rsid w:val="00B04DD0"/>
    <w:rsid w:val="00B06EB2"/>
    <w:rsid w:val="00B143C5"/>
    <w:rsid w:val="00B21FFF"/>
    <w:rsid w:val="00B255AA"/>
    <w:rsid w:val="00B27D1F"/>
    <w:rsid w:val="00B27F57"/>
    <w:rsid w:val="00B320CA"/>
    <w:rsid w:val="00B328FF"/>
    <w:rsid w:val="00B42D6B"/>
    <w:rsid w:val="00B4414B"/>
    <w:rsid w:val="00B518F9"/>
    <w:rsid w:val="00B538FB"/>
    <w:rsid w:val="00B53980"/>
    <w:rsid w:val="00B53F19"/>
    <w:rsid w:val="00B564C2"/>
    <w:rsid w:val="00B56A24"/>
    <w:rsid w:val="00B56E54"/>
    <w:rsid w:val="00B60153"/>
    <w:rsid w:val="00B60628"/>
    <w:rsid w:val="00B619A1"/>
    <w:rsid w:val="00B726FA"/>
    <w:rsid w:val="00B73B1F"/>
    <w:rsid w:val="00B73BD8"/>
    <w:rsid w:val="00B7597A"/>
    <w:rsid w:val="00B760E3"/>
    <w:rsid w:val="00B77920"/>
    <w:rsid w:val="00B82242"/>
    <w:rsid w:val="00B82283"/>
    <w:rsid w:val="00B8778D"/>
    <w:rsid w:val="00B87E26"/>
    <w:rsid w:val="00B94C07"/>
    <w:rsid w:val="00BA0655"/>
    <w:rsid w:val="00BA07D0"/>
    <w:rsid w:val="00BA1F76"/>
    <w:rsid w:val="00BB0E54"/>
    <w:rsid w:val="00BB43F0"/>
    <w:rsid w:val="00BB5F81"/>
    <w:rsid w:val="00BC28DA"/>
    <w:rsid w:val="00BC4D70"/>
    <w:rsid w:val="00BD462A"/>
    <w:rsid w:val="00BD5AB7"/>
    <w:rsid w:val="00BD7D27"/>
    <w:rsid w:val="00BE079E"/>
    <w:rsid w:val="00BE3858"/>
    <w:rsid w:val="00BE445A"/>
    <w:rsid w:val="00BF12D6"/>
    <w:rsid w:val="00BF6C9E"/>
    <w:rsid w:val="00C02408"/>
    <w:rsid w:val="00C02A35"/>
    <w:rsid w:val="00C044D2"/>
    <w:rsid w:val="00C04CC6"/>
    <w:rsid w:val="00C066EB"/>
    <w:rsid w:val="00C07026"/>
    <w:rsid w:val="00C12A32"/>
    <w:rsid w:val="00C219E9"/>
    <w:rsid w:val="00C221D9"/>
    <w:rsid w:val="00C22AF6"/>
    <w:rsid w:val="00C24631"/>
    <w:rsid w:val="00C25AD9"/>
    <w:rsid w:val="00C34313"/>
    <w:rsid w:val="00C3757D"/>
    <w:rsid w:val="00C41C9D"/>
    <w:rsid w:val="00C44E1B"/>
    <w:rsid w:val="00C46740"/>
    <w:rsid w:val="00C50781"/>
    <w:rsid w:val="00C522DD"/>
    <w:rsid w:val="00C5529E"/>
    <w:rsid w:val="00C56B91"/>
    <w:rsid w:val="00C622C7"/>
    <w:rsid w:val="00C66F09"/>
    <w:rsid w:val="00C7030D"/>
    <w:rsid w:val="00C70C28"/>
    <w:rsid w:val="00C722C2"/>
    <w:rsid w:val="00C76AB9"/>
    <w:rsid w:val="00C76D28"/>
    <w:rsid w:val="00C77AF1"/>
    <w:rsid w:val="00C83BC7"/>
    <w:rsid w:val="00C846EA"/>
    <w:rsid w:val="00C85FDB"/>
    <w:rsid w:val="00C875C1"/>
    <w:rsid w:val="00C92EBE"/>
    <w:rsid w:val="00C92ED9"/>
    <w:rsid w:val="00C944E2"/>
    <w:rsid w:val="00C95B29"/>
    <w:rsid w:val="00C95EBF"/>
    <w:rsid w:val="00C9781A"/>
    <w:rsid w:val="00CA4D73"/>
    <w:rsid w:val="00CA6371"/>
    <w:rsid w:val="00CA70AA"/>
    <w:rsid w:val="00CB343E"/>
    <w:rsid w:val="00CB3BFA"/>
    <w:rsid w:val="00CC1172"/>
    <w:rsid w:val="00CC47A9"/>
    <w:rsid w:val="00CD1C49"/>
    <w:rsid w:val="00CE0BB4"/>
    <w:rsid w:val="00CE1F97"/>
    <w:rsid w:val="00CE222C"/>
    <w:rsid w:val="00CE5E94"/>
    <w:rsid w:val="00CE65A9"/>
    <w:rsid w:val="00CF113B"/>
    <w:rsid w:val="00CF6C44"/>
    <w:rsid w:val="00D00086"/>
    <w:rsid w:val="00D01085"/>
    <w:rsid w:val="00D015DF"/>
    <w:rsid w:val="00D04F37"/>
    <w:rsid w:val="00D07B60"/>
    <w:rsid w:val="00D07BF6"/>
    <w:rsid w:val="00D17180"/>
    <w:rsid w:val="00D2012D"/>
    <w:rsid w:val="00D20425"/>
    <w:rsid w:val="00D2075B"/>
    <w:rsid w:val="00D24567"/>
    <w:rsid w:val="00D24FD7"/>
    <w:rsid w:val="00D25A81"/>
    <w:rsid w:val="00D26352"/>
    <w:rsid w:val="00D27025"/>
    <w:rsid w:val="00D30271"/>
    <w:rsid w:val="00D3170E"/>
    <w:rsid w:val="00D330BF"/>
    <w:rsid w:val="00D33317"/>
    <w:rsid w:val="00D34340"/>
    <w:rsid w:val="00D36D05"/>
    <w:rsid w:val="00D44167"/>
    <w:rsid w:val="00D45BBB"/>
    <w:rsid w:val="00D5054B"/>
    <w:rsid w:val="00D508A8"/>
    <w:rsid w:val="00D51786"/>
    <w:rsid w:val="00D51B88"/>
    <w:rsid w:val="00D552FD"/>
    <w:rsid w:val="00D56433"/>
    <w:rsid w:val="00D62C44"/>
    <w:rsid w:val="00D6528B"/>
    <w:rsid w:val="00D745EA"/>
    <w:rsid w:val="00D82201"/>
    <w:rsid w:val="00D82A2E"/>
    <w:rsid w:val="00D83493"/>
    <w:rsid w:val="00D842AF"/>
    <w:rsid w:val="00D84FBC"/>
    <w:rsid w:val="00D879C3"/>
    <w:rsid w:val="00D905D7"/>
    <w:rsid w:val="00D91C00"/>
    <w:rsid w:val="00D9337C"/>
    <w:rsid w:val="00D94517"/>
    <w:rsid w:val="00D95661"/>
    <w:rsid w:val="00D95F2E"/>
    <w:rsid w:val="00D96284"/>
    <w:rsid w:val="00DA4764"/>
    <w:rsid w:val="00DA4BD5"/>
    <w:rsid w:val="00DA545E"/>
    <w:rsid w:val="00DA6BBF"/>
    <w:rsid w:val="00DA74FA"/>
    <w:rsid w:val="00DB192F"/>
    <w:rsid w:val="00DB5D8E"/>
    <w:rsid w:val="00DB6645"/>
    <w:rsid w:val="00DB7990"/>
    <w:rsid w:val="00DC0F5A"/>
    <w:rsid w:val="00DC31DD"/>
    <w:rsid w:val="00DC7F90"/>
    <w:rsid w:val="00DD00C2"/>
    <w:rsid w:val="00DD0EE2"/>
    <w:rsid w:val="00DD2292"/>
    <w:rsid w:val="00DD23F6"/>
    <w:rsid w:val="00DD61A5"/>
    <w:rsid w:val="00DE19F5"/>
    <w:rsid w:val="00DF3B6A"/>
    <w:rsid w:val="00DF50D2"/>
    <w:rsid w:val="00DF7B14"/>
    <w:rsid w:val="00E02CEB"/>
    <w:rsid w:val="00E0302A"/>
    <w:rsid w:val="00E03522"/>
    <w:rsid w:val="00E044CB"/>
    <w:rsid w:val="00E04652"/>
    <w:rsid w:val="00E04844"/>
    <w:rsid w:val="00E0547C"/>
    <w:rsid w:val="00E124FB"/>
    <w:rsid w:val="00E204B1"/>
    <w:rsid w:val="00E21992"/>
    <w:rsid w:val="00E230D9"/>
    <w:rsid w:val="00E26604"/>
    <w:rsid w:val="00E2674E"/>
    <w:rsid w:val="00E26BAC"/>
    <w:rsid w:val="00E3093E"/>
    <w:rsid w:val="00E31C9B"/>
    <w:rsid w:val="00E32279"/>
    <w:rsid w:val="00E335F9"/>
    <w:rsid w:val="00E414B0"/>
    <w:rsid w:val="00E47085"/>
    <w:rsid w:val="00E532D5"/>
    <w:rsid w:val="00E5477D"/>
    <w:rsid w:val="00E55174"/>
    <w:rsid w:val="00E55DD9"/>
    <w:rsid w:val="00E5661C"/>
    <w:rsid w:val="00E566CB"/>
    <w:rsid w:val="00E570C4"/>
    <w:rsid w:val="00E62443"/>
    <w:rsid w:val="00E65EB4"/>
    <w:rsid w:val="00E6662A"/>
    <w:rsid w:val="00E73E9F"/>
    <w:rsid w:val="00E75D60"/>
    <w:rsid w:val="00E82972"/>
    <w:rsid w:val="00E92D74"/>
    <w:rsid w:val="00E94F20"/>
    <w:rsid w:val="00EA2CF2"/>
    <w:rsid w:val="00EA6EF8"/>
    <w:rsid w:val="00EA752F"/>
    <w:rsid w:val="00EB3B2D"/>
    <w:rsid w:val="00EB7DB7"/>
    <w:rsid w:val="00EC02C9"/>
    <w:rsid w:val="00EC6410"/>
    <w:rsid w:val="00EC68C2"/>
    <w:rsid w:val="00ED11F8"/>
    <w:rsid w:val="00ED57A0"/>
    <w:rsid w:val="00ED687C"/>
    <w:rsid w:val="00ED7F73"/>
    <w:rsid w:val="00EE0A47"/>
    <w:rsid w:val="00EE1E20"/>
    <w:rsid w:val="00EE2F3A"/>
    <w:rsid w:val="00EE4AFB"/>
    <w:rsid w:val="00EE4DFE"/>
    <w:rsid w:val="00EE5CB2"/>
    <w:rsid w:val="00EE6FDB"/>
    <w:rsid w:val="00F0770E"/>
    <w:rsid w:val="00F07E5F"/>
    <w:rsid w:val="00F11B3B"/>
    <w:rsid w:val="00F126B0"/>
    <w:rsid w:val="00F15555"/>
    <w:rsid w:val="00F15A80"/>
    <w:rsid w:val="00F15FF3"/>
    <w:rsid w:val="00F17EE8"/>
    <w:rsid w:val="00F17F36"/>
    <w:rsid w:val="00F215B1"/>
    <w:rsid w:val="00F23000"/>
    <w:rsid w:val="00F233CC"/>
    <w:rsid w:val="00F23533"/>
    <w:rsid w:val="00F3220B"/>
    <w:rsid w:val="00F3250C"/>
    <w:rsid w:val="00F352CB"/>
    <w:rsid w:val="00F477FF"/>
    <w:rsid w:val="00F47D1E"/>
    <w:rsid w:val="00F522F4"/>
    <w:rsid w:val="00F53387"/>
    <w:rsid w:val="00F54885"/>
    <w:rsid w:val="00F567C3"/>
    <w:rsid w:val="00F62A11"/>
    <w:rsid w:val="00F62E57"/>
    <w:rsid w:val="00F704EA"/>
    <w:rsid w:val="00F71B6D"/>
    <w:rsid w:val="00F73FDC"/>
    <w:rsid w:val="00F77E28"/>
    <w:rsid w:val="00F8102B"/>
    <w:rsid w:val="00F8658C"/>
    <w:rsid w:val="00F9203A"/>
    <w:rsid w:val="00F95F36"/>
    <w:rsid w:val="00F96E18"/>
    <w:rsid w:val="00FA10CC"/>
    <w:rsid w:val="00FA43D6"/>
    <w:rsid w:val="00FB2547"/>
    <w:rsid w:val="00FB26CE"/>
    <w:rsid w:val="00FB5D2F"/>
    <w:rsid w:val="00FB64DB"/>
    <w:rsid w:val="00FB7502"/>
    <w:rsid w:val="00FC5841"/>
    <w:rsid w:val="00FC5B89"/>
    <w:rsid w:val="00FC6FAA"/>
    <w:rsid w:val="00FD0051"/>
    <w:rsid w:val="00FD2315"/>
    <w:rsid w:val="00FE6827"/>
    <w:rsid w:val="00FE7AB3"/>
    <w:rsid w:val="00FF5078"/>
    <w:rsid w:val="00FF7EE2"/>
    <w:rsid w:val="03EB0A08"/>
    <w:rsid w:val="06C928E5"/>
    <w:rsid w:val="11C97875"/>
    <w:rsid w:val="16F2054F"/>
    <w:rsid w:val="61E22F58"/>
    <w:rsid w:val="69364667"/>
    <w:rsid w:val="6C934082"/>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iPriority="0" w:name="footnote text"/>
    <w:lsdException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qFormat="1" w:unhideWhenUsed="0" w:uiPriority="0" w:semiHidden="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宋体" w:hAnsi="Times New Roman" w:eastAsia="宋体" w:cs="Times New Roman"/>
      <w:lang w:val="en-US" w:eastAsia="zh-CN" w:bidi="ar-SA"/>
    </w:rPr>
  </w:style>
  <w:style w:type="paragraph" w:styleId="2">
    <w:name w:val="heading 1"/>
    <w:basedOn w:val="1"/>
    <w:next w:val="1"/>
    <w:link w:val="59"/>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9"/>
    <w:qFormat/>
    <w:uiPriority w:val="0"/>
    <w:pPr>
      <w:keepNext/>
      <w:keepLines/>
      <w:spacing w:before="260" w:after="260" w:line="416" w:lineRule="auto"/>
      <w:outlineLvl w:val="2"/>
    </w:pPr>
    <w:rPr>
      <w:b/>
      <w:bCs/>
      <w:sz w:val="32"/>
      <w:szCs w:val="32"/>
    </w:rPr>
  </w:style>
  <w:style w:type="paragraph" w:styleId="5">
    <w:name w:val="heading 4"/>
    <w:basedOn w:val="1"/>
    <w:next w:val="6"/>
    <w:link w:val="51"/>
    <w:qFormat/>
    <w:uiPriority w:val="0"/>
    <w:pPr>
      <w:keepNext/>
      <w:keepLines/>
      <w:autoSpaceDE/>
      <w:autoSpaceDN/>
      <w:adjustRightInd/>
      <w:spacing w:before="280" w:after="290" w:line="376" w:lineRule="auto"/>
      <w:jc w:val="both"/>
      <w:outlineLvl w:val="3"/>
    </w:pPr>
    <w:rPr>
      <w:rFonts w:ascii="Arial" w:hAnsi="Arial" w:eastAsia="黑体" w:cs="Arial"/>
      <w:b/>
      <w:bCs/>
      <w:kern w:val="2"/>
      <w:sz w:val="28"/>
      <w:szCs w:val="28"/>
    </w:rPr>
  </w:style>
  <w:style w:type="paragraph" w:styleId="7">
    <w:name w:val="heading 5"/>
    <w:basedOn w:val="1"/>
    <w:next w:val="1"/>
    <w:qFormat/>
    <w:uiPriority w:val="0"/>
    <w:pPr>
      <w:keepNext/>
      <w:keepLines/>
      <w:tabs>
        <w:tab w:val="left" w:pos="1008"/>
      </w:tabs>
      <w:autoSpaceDE/>
      <w:autoSpaceDN/>
      <w:adjustRightInd/>
      <w:spacing w:line="360" w:lineRule="auto"/>
      <w:ind w:left="1008" w:hanging="1008"/>
      <w:jc w:val="both"/>
      <w:outlineLvl w:val="4"/>
    </w:pPr>
    <w:rPr>
      <w:rFonts w:ascii="Times New Roman"/>
      <w:b/>
      <w:bCs/>
      <w:kern w:val="2"/>
      <w:sz w:val="24"/>
      <w:szCs w:val="28"/>
    </w:rPr>
  </w:style>
  <w:style w:type="paragraph" w:styleId="8">
    <w:name w:val="heading 6"/>
    <w:basedOn w:val="1"/>
    <w:next w:val="1"/>
    <w:qFormat/>
    <w:uiPriority w:val="0"/>
    <w:pPr>
      <w:keepNext/>
      <w:keepLines/>
      <w:tabs>
        <w:tab w:val="left" w:pos="1152"/>
      </w:tabs>
      <w:autoSpaceDE/>
      <w:autoSpaceDN/>
      <w:adjustRightInd/>
      <w:spacing w:before="240" w:after="64" w:line="320" w:lineRule="auto"/>
      <w:ind w:left="1152" w:hanging="1152"/>
      <w:jc w:val="both"/>
      <w:outlineLvl w:val="5"/>
    </w:pPr>
    <w:rPr>
      <w:rFonts w:ascii="Arial" w:hAnsi="Arial" w:eastAsia="黑体"/>
      <w:b/>
      <w:bCs/>
      <w:kern w:val="2"/>
      <w:sz w:val="24"/>
      <w:szCs w:val="24"/>
    </w:rPr>
  </w:style>
  <w:style w:type="paragraph" w:styleId="9">
    <w:name w:val="heading 7"/>
    <w:basedOn w:val="1"/>
    <w:next w:val="1"/>
    <w:qFormat/>
    <w:uiPriority w:val="0"/>
    <w:pPr>
      <w:keepNext/>
      <w:keepLines/>
      <w:tabs>
        <w:tab w:val="left" w:pos="1296"/>
      </w:tabs>
      <w:autoSpaceDE/>
      <w:autoSpaceDN/>
      <w:adjustRightInd/>
      <w:spacing w:before="240" w:after="64" w:line="320" w:lineRule="auto"/>
      <w:ind w:left="1296" w:hanging="1296"/>
      <w:jc w:val="both"/>
      <w:outlineLvl w:val="6"/>
    </w:pPr>
    <w:rPr>
      <w:rFonts w:ascii="Times New Roman"/>
      <w:b/>
      <w:bCs/>
      <w:kern w:val="2"/>
      <w:sz w:val="24"/>
      <w:szCs w:val="24"/>
    </w:rPr>
  </w:style>
  <w:style w:type="paragraph" w:styleId="10">
    <w:name w:val="heading 8"/>
    <w:basedOn w:val="1"/>
    <w:next w:val="1"/>
    <w:qFormat/>
    <w:uiPriority w:val="0"/>
    <w:pPr>
      <w:keepNext/>
      <w:keepLines/>
      <w:tabs>
        <w:tab w:val="left" w:pos="1440"/>
      </w:tabs>
      <w:autoSpaceDE/>
      <w:autoSpaceDN/>
      <w:adjustRightInd/>
      <w:spacing w:before="240" w:after="64" w:line="320" w:lineRule="auto"/>
      <w:ind w:left="1440" w:hanging="1440"/>
      <w:jc w:val="both"/>
      <w:outlineLvl w:val="7"/>
    </w:pPr>
    <w:rPr>
      <w:rFonts w:ascii="Arial" w:hAnsi="Arial" w:eastAsia="黑体"/>
      <w:kern w:val="2"/>
      <w:sz w:val="24"/>
      <w:szCs w:val="24"/>
    </w:rPr>
  </w:style>
  <w:style w:type="paragraph" w:styleId="11">
    <w:name w:val="heading 9"/>
    <w:basedOn w:val="1"/>
    <w:next w:val="1"/>
    <w:qFormat/>
    <w:uiPriority w:val="0"/>
    <w:pPr>
      <w:keepNext/>
      <w:keepLines/>
      <w:tabs>
        <w:tab w:val="left" w:pos="1584"/>
      </w:tabs>
      <w:autoSpaceDE/>
      <w:autoSpaceDN/>
      <w:adjustRightInd/>
      <w:spacing w:before="240" w:after="64" w:line="320" w:lineRule="auto"/>
      <w:ind w:left="1584" w:hanging="1584"/>
      <w:jc w:val="both"/>
      <w:outlineLvl w:val="8"/>
    </w:pPr>
    <w:rPr>
      <w:rFonts w:ascii="Arial" w:hAnsi="Arial" w:eastAsia="黑体"/>
      <w:kern w:val="2"/>
      <w:sz w:val="21"/>
      <w:szCs w:val="21"/>
    </w:rPr>
  </w:style>
  <w:style w:type="character" w:default="1" w:styleId="39">
    <w:name w:val="Default Paragraph Font"/>
    <w:unhideWhenUsed/>
    <w:uiPriority w:val="1"/>
  </w:style>
  <w:style w:type="table" w:default="1" w:styleId="45">
    <w:name w:val="Normal Table"/>
    <w:unhideWhenUsed/>
    <w:qFormat/>
    <w:uiPriority w:val="99"/>
    <w:tblPr>
      <w:tblLayout w:type="fixed"/>
      <w:tblCellMar>
        <w:top w:w="0" w:type="dxa"/>
        <w:left w:w="108" w:type="dxa"/>
        <w:bottom w:w="0" w:type="dxa"/>
        <w:right w:w="108" w:type="dxa"/>
      </w:tblCellMar>
    </w:tblPr>
  </w:style>
  <w:style w:type="paragraph" w:styleId="6">
    <w:name w:val="Normal Indent"/>
    <w:basedOn w:val="1"/>
    <w:link w:val="48"/>
    <w:uiPriority w:val="0"/>
    <w:pPr>
      <w:ind w:firstLine="420" w:firstLineChars="200"/>
    </w:pPr>
  </w:style>
  <w:style w:type="paragraph" w:styleId="12">
    <w:name w:val="List 3"/>
    <w:basedOn w:val="1"/>
    <w:qFormat/>
    <w:uiPriority w:val="0"/>
    <w:pPr>
      <w:widowControl/>
      <w:autoSpaceDE/>
      <w:autoSpaceDN/>
      <w:adjustRightInd/>
      <w:spacing w:before="100" w:beforeAutospacing="1" w:after="100" w:afterAutospacing="1"/>
    </w:pPr>
    <w:rPr>
      <w:rFonts w:hAnsi="宋体" w:cs="宋体"/>
      <w:sz w:val="24"/>
      <w:szCs w:val="24"/>
    </w:rPr>
  </w:style>
  <w:style w:type="paragraph" w:styleId="13">
    <w:name w:val="annotation subject"/>
    <w:basedOn w:val="14"/>
    <w:next w:val="14"/>
    <w:semiHidden/>
    <w:qFormat/>
    <w:uiPriority w:val="0"/>
    <w:rPr>
      <w:b/>
      <w:bCs/>
    </w:rPr>
  </w:style>
  <w:style w:type="paragraph" w:styleId="14">
    <w:name w:val="annotation text"/>
    <w:basedOn w:val="1"/>
    <w:semiHidden/>
    <w:uiPriority w:val="0"/>
    <w:pPr>
      <w:autoSpaceDE/>
      <w:autoSpaceDN/>
      <w:adjustRightInd/>
    </w:pPr>
    <w:rPr>
      <w:rFonts w:ascii="Times New Roman"/>
      <w:kern w:val="2"/>
      <w:sz w:val="21"/>
      <w:szCs w:val="24"/>
    </w:rPr>
  </w:style>
  <w:style w:type="paragraph" w:styleId="15">
    <w:name w:val="toc 7"/>
    <w:basedOn w:val="1"/>
    <w:next w:val="1"/>
    <w:semiHidden/>
    <w:qFormat/>
    <w:uiPriority w:val="0"/>
    <w:pPr>
      <w:autoSpaceDE/>
      <w:autoSpaceDN/>
      <w:adjustRightInd/>
      <w:ind w:left="1260"/>
    </w:pPr>
    <w:rPr>
      <w:rFonts w:ascii="Times New Roman"/>
      <w:kern w:val="2"/>
      <w:sz w:val="18"/>
      <w:szCs w:val="18"/>
    </w:rPr>
  </w:style>
  <w:style w:type="paragraph" w:styleId="16">
    <w:name w:val="Body Text First Indent"/>
    <w:basedOn w:val="17"/>
    <w:uiPriority w:val="0"/>
    <w:pPr>
      <w:spacing w:after="120"/>
      <w:ind w:firstLine="420" w:firstLineChars="100"/>
      <w:jc w:val="both"/>
    </w:pPr>
    <w:rPr>
      <w:sz w:val="21"/>
    </w:rPr>
  </w:style>
  <w:style w:type="paragraph" w:styleId="17">
    <w:name w:val="Body Text"/>
    <w:basedOn w:val="1"/>
    <w:link w:val="47"/>
    <w:uiPriority w:val="0"/>
    <w:pPr>
      <w:autoSpaceDE/>
      <w:autoSpaceDN/>
      <w:adjustRightInd/>
      <w:jc w:val="center"/>
    </w:pPr>
    <w:rPr>
      <w:rFonts w:ascii="Times New Roman"/>
      <w:kern w:val="2"/>
      <w:sz w:val="44"/>
      <w:szCs w:val="24"/>
    </w:rPr>
  </w:style>
  <w:style w:type="paragraph" w:styleId="18">
    <w:name w:val="List Number"/>
    <w:basedOn w:val="1"/>
    <w:uiPriority w:val="0"/>
    <w:pPr>
      <w:tabs>
        <w:tab w:val="left" w:pos="420"/>
      </w:tabs>
      <w:autoSpaceDE/>
      <w:autoSpaceDN/>
      <w:adjustRightInd/>
      <w:ind w:left="420" w:hanging="420"/>
      <w:jc w:val="both"/>
    </w:pPr>
    <w:rPr>
      <w:rFonts w:ascii="Times New Roman"/>
      <w:kern w:val="2"/>
      <w:sz w:val="21"/>
      <w:szCs w:val="24"/>
    </w:rPr>
  </w:style>
  <w:style w:type="paragraph" w:styleId="19">
    <w:name w:val="Document Map"/>
    <w:basedOn w:val="1"/>
    <w:semiHidden/>
    <w:qFormat/>
    <w:uiPriority w:val="0"/>
    <w:pPr>
      <w:shd w:val="clear" w:color="auto" w:fill="000080"/>
      <w:autoSpaceDE/>
      <w:autoSpaceDN/>
      <w:adjustRightInd/>
      <w:jc w:val="both"/>
    </w:pPr>
    <w:rPr>
      <w:rFonts w:ascii="Times New Roman"/>
      <w:kern w:val="2"/>
      <w:sz w:val="21"/>
      <w:szCs w:val="24"/>
    </w:rPr>
  </w:style>
  <w:style w:type="paragraph" w:styleId="20">
    <w:name w:val="Body Text 3"/>
    <w:basedOn w:val="1"/>
    <w:qFormat/>
    <w:uiPriority w:val="0"/>
    <w:pPr>
      <w:widowControl/>
      <w:autoSpaceDE/>
      <w:autoSpaceDN/>
      <w:adjustRightInd/>
      <w:jc w:val="center"/>
    </w:pPr>
    <w:rPr>
      <w:rFonts w:ascii="Times New Roman"/>
      <w:sz w:val="21"/>
    </w:rPr>
  </w:style>
  <w:style w:type="paragraph" w:styleId="21">
    <w:name w:val="Body Text Indent"/>
    <w:basedOn w:val="1"/>
    <w:qFormat/>
    <w:uiPriority w:val="0"/>
    <w:pPr>
      <w:autoSpaceDE/>
      <w:autoSpaceDN/>
      <w:adjustRightInd/>
      <w:spacing w:after="120"/>
      <w:ind w:left="420" w:leftChars="200"/>
      <w:jc w:val="both"/>
    </w:pPr>
    <w:rPr>
      <w:rFonts w:ascii="Times New Roman"/>
      <w:kern w:val="2"/>
      <w:sz w:val="21"/>
      <w:szCs w:val="24"/>
    </w:rPr>
  </w:style>
  <w:style w:type="paragraph" w:styleId="22">
    <w:name w:val="toc 5"/>
    <w:basedOn w:val="1"/>
    <w:next w:val="1"/>
    <w:semiHidden/>
    <w:qFormat/>
    <w:uiPriority w:val="0"/>
    <w:pPr>
      <w:autoSpaceDE/>
      <w:autoSpaceDN/>
      <w:adjustRightInd/>
      <w:spacing w:before="120" w:after="120"/>
      <w:ind w:left="840"/>
    </w:pPr>
    <w:rPr>
      <w:rFonts w:ascii="Times New Roman"/>
      <w:kern w:val="2"/>
      <w:sz w:val="21"/>
      <w:szCs w:val="18"/>
    </w:rPr>
  </w:style>
  <w:style w:type="paragraph" w:styleId="23">
    <w:name w:val="toc 3"/>
    <w:basedOn w:val="1"/>
    <w:next w:val="1"/>
    <w:qFormat/>
    <w:uiPriority w:val="39"/>
    <w:pPr>
      <w:tabs>
        <w:tab w:val="right" w:leader="dot" w:pos="8540"/>
      </w:tabs>
      <w:spacing w:line="360" w:lineRule="auto"/>
    </w:pPr>
  </w:style>
  <w:style w:type="paragraph" w:styleId="24">
    <w:name w:val="Plain Text"/>
    <w:basedOn w:val="1"/>
    <w:qFormat/>
    <w:uiPriority w:val="0"/>
    <w:pPr>
      <w:autoSpaceDE/>
      <w:autoSpaceDN/>
      <w:adjustRightInd/>
      <w:jc w:val="both"/>
    </w:pPr>
    <w:rPr>
      <w:rFonts w:hint="eastAsia" w:hAnsi="Courier New"/>
      <w:kern w:val="2"/>
      <w:sz w:val="21"/>
      <w:szCs w:val="21"/>
    </w:rPr>
  </w:style>
  <w:style w:type="paragraph" w:styleId="25">
    <w:name w:val="toc 8"/>
    <w:basedOn w:val="1"/>
    <w:next w:val="1"/>
    <w:semiHidden/>
    <w:qFormat/>
    <w:uiPriority w:val="0"/>
    <w:pPr>
      <w:autoSpaceDE/>
      <w:autoSpaceDN/>
      <w:adjustRightInd/>
      <w:ind w:left="1470"/>
    </w:pPr>
    <w:rPr>
      <w:rFonts w:ascii="Times New Roman"/>
      <w:kern w:val="2"/>
      <w:sz w:val="18"/>
      <w:szCs w:val="18"/>
    </w:rPr>
  </w:style>
  <w:style w:type="paragraph" w:styleId="26">
    <w:name w:val="Date"/>
    <w:basedOn w:val="1"/>
    <w:next w:val="1"/>
    <w:qFormat/>
    <w:uiPriority w:val="0"/>
    <w:pPr>
      <w:autoSpaceDE/>
      <w:autoSpaceDN/>
      <w:adjustRightInd/>
      <w:ind w:left="100" w:leftChars="2500"/>
      <w:jc w:val="both"/>
    </w:pPr>
    <w:rPr>
      <w:rFonts w:ascii="Times New Roman"/>
      <w:kern w:val="2"/>
      <w:sz w:val="21"/>
      <w:szCs w:val="24"/>
    </w:rPr>
  </w:style>
  <w:style w:type="paragraph" w:styleId="27">
    <w:name w:val="Balloon Text"/>
    <w:basedOn w:val="1"/>
    <w:semiHidden/>
    <w:qFormat/>
    <w:uiPriority w:val="0"/>
    <w:pPr>
      <w:autoSpaceDE/>
      <w:autoSpaceDN/>
      <w:adjustRightInd/>
      <w:jc w:val="both"/>
    </w:pPr>
    <w:rPr>
      <w:rFonts w:ascii="Times New Roman"/>
      <w:kern w:val="2"/>
      <w:sz w:val="18"/>
      <w:szCs w:val="18"/>
    </w:rPr>
  </w:style>
  <w:style w:type="paragraph" w:styleId="28">
    <w:name w:val="footer"/>
    <w:basedOn w:val="1"/>
    <w:qFormat/>
    <w:uiPriority w:val="0"/>
    <w:pPr>
      <w:tabs>
        <w:tab w:val="center" w:pos="4153"/>
        <w:tab w:val="right" w:pos="8306"/>
      </w:tabs>
      <w:snapToGrid w:val="0"/>
    </w:pPr>
    <w:rPr>
      <w:sz w:val="18"/>
      <w:szCs w:val="18"/>
    </w:rPr>
  </w:style>
  <w:style w:type="paragraph" w:styleId="29">
    <w:name w:val="header"/>
    <w:basedOn w:val="1"/>
    <w:qFormat/>
    <w:uiPriority w:val="0"/>
    <w:pPr>
      <w:pBdr>
        <w:bottom w:val="thickThinLargeGap" w:color="auto" w:sz="6" w:space="1"/>
      </w:pBdr>
      <w:autoSpaceDE/>
      <w:autoSpaceDN/>
      <w:snapToGrid w:val="0"/>
      <w:spacing w:line="400" w:lineRule="atLeast"/>
      <w:jc w:val="center"/>
    </w:pPr>
    <w:rPr>
      <w:rFonts w:ascii="仿宋_GB2312" w:hAnsi="华文宋体" w:eastAsia="仿宋_GB2312"/>
      <w:b/>
      <w:bCs/>
      <w:kern w:val="2"/>
      <w:sz w:val="28"/>
      <w:szCs w:val="24"/>
    </w:rPr>
  </w:style>
  <w:style w:type="paragraph" w:styleId="30">
    <w:name w:val="toc 1"/>
    <w:basedOn w:val="1"/>
    <w:next w:val="1"/>
    <w:qFormat/>
    <w:uiPriority w:val="39"/>
  </w:style>
  <w:style w:type="paragraph" w:styleId="31">
    <w:name w:val="toc 4"/>
    <w:basedOn w:val="1"/>
    <w:next w:val="1"/>
    <w:semiHidden/>
    <w:qFormat/>
    <w:uiPriority w:val="0"/>
    <w:pPr>
      <w:autoSpaceDE/>
      <w:autoSpaceDN/>
      <w:adjustRightInd/>
      <w:spacing w:before="120" w:after="120"/>
      <w:ind w:left="630"/>
    </w:pPr>
    <w:rPr>
      <w:rFonts w:ascii="Times New Roman"/>
      <w:kern w:val="2"/>
      <w:sz w:val="21"/>
      <w:szCs w:val="18"/>
    </w:rPr>
  </w:style>
  <w:style w:type="paragraph" w:styleId="32">
    <w:name w:val="Subtitle"/>
    <w:basedOn w:val="1"/>
    <w:next w:val="1"/>
    <w:link w:val="57"/>
    <w:qFormat/>
    <w:uiPriority w:val="0"/>
    <w:pPr>
      <w:autoSpaceDE/>
      <w:autoSpaceDN/>
      <w:adjustRightInd/>
      <w:spacing w:before="240" w:after="60" w:line="312" w:lineRule="auto"/>
      <w:jc w:val="center"/>
      <w:outlineLvl w:val="1"/>
    </w:pPr>
    <w:rPr>
      <w:rFonts w:ascii="Cambria" w:hAnsi="Cambria"/>
      <w:b/>
      <w:bCs/>
      <w:kern w:val="28"/>
      <w:sz w:val="32"/>
      <w:szCs w:val="32"/>
    </w:rPr>
  </w:style>
  <w:style w:type="paragraph" w:styleId="33">
    <w:name w:val="List"/>
    <w:basedOn w:val="1"/>
    <w:qFormat/>
    <w:uiPriority w:val="0"/>
    <w:pPr>
      <w:autoSpaceDE/>
      <w:autoSpaceDN/>
      <w:adjustRightInd/>
      <w:ind w:left="200" w:hanging="200" w:hangingChars="200"/>
      <w:jc w:val="both"/>
    </w:pPr>
    <w:rPr>
      <w:rFonts w:ascii="Times New Roman"/>
      <w:kern w:val="2"/>
      <w:sz w:val="21"/>
      <w:szCs w:val="24"/>
    </w:rPr>
  </w:style>
  <w:style w:type="paragraph" w:styleId="34">
    <w:name w:val="toc 6"/>
    <w:basedOn w:val="1"/>
    <w:next w:val="1"/>
    <w:semiHidden/>
    <w:qFormat/>
    <w:uiPriority w:val="0"/>
    <w:pPr>
      <w:autoSpaceDE/>
      <w:autoSpaceDN/>
      <w:adjustRightInd/>
      <w:ind w:left="1050"/>
    </w:pPr>
    <w:rPr>
      <w:rFonts w:ascii="Times New Roman"/>
      <w:kern w:val="2"/>
      <w:sz w:val="18"/>
      <w:szCs w:val="18"/>
    </w:rPr>
  </w:style>
  <w:style w:type="paragraph" w:styleId="35">
    <w:name w:val="Body Text Indent 3"/>
    <w:basedOn w:val="1"/>
    <w:qFormat/>
    <w:uiPriority w:val="0"/>
    <w:pPr>
      <w:autoSpaceDE/>
      <w:autoSpaceDN/>
      <w:adjustRightInd/>
      <w:spacing w:after="120"/>
      <w:ind w:left="420" w:leftChars="200"/>
      <w:jc w:val="both"/>
    </w:pPr>
    <w:rPr>
      <w:rFonts w:ascii="Times New Roman"/>
      <w:kern w:val="2"/>
      <w:sz w:val="16"/>
      <w:szCs w:val="16"/>
    </w:rPr>
  </w:style>
  <w:style w:type="paragraph" w:styleId="36">
    <w:name w:val="toc 2"/>
    <w:basedOn w:val="1"/>
    <w:next w:val="1"/>
    <w:qFormat/>
    <w:uiPriority w:val="39"/>
    <w:pPr>
      <w:tabs>
        <w:tab w:val="right" w:leader="dot" w:pos="8540"/>
      </w:tabs>
      <w:spacing w:line="360" w:lineRule="auto"/>
    </w:pPr>
  </w:style>
  <w:style w:type="paragraph" w:styleId="37">
    <w:name w:val="toc 9"/>
    <w:basedOn w:val="1"/>
    <w:next w:val="1"/>
    <w:semiHidden/>
    <w:qFormat/>
    <w:uiPriority w:val="0"/>
    <w:pPr>
      <w:autoSpaceDE/>
      <w:autoSpaceDN/>
      <w:adjustRightInd/>
      <w:ind w:left="1680"/>
    </w:pPr>
    <w:rPr>
      <w:rFonts w:ascii="Times New Roman"/>
      <w:kern w:val="2"/>
      <w:sz w:val="18"/>
      <w:szCs w:val="18"/>
    </w:rPr>
  </w:style>
  <w:style w:type="paragraph" w:styleId="38">
    <w:name w:val="Normal (Web)"/>
    <w:basedOn w:val="1"/>
    <w:qFormat/>
    <w:uiPriority w:val="0"/>
    <w:pPr>
      <w:widowControl/>
      <w:autoSpaceDE/>
      <w:autoSpaceDN/>
      <w:adjustRightInd/>
      <w:spacing w:before="100" w:beforeAutospacing="1" w:after="100" w:afterAutospacing="1"/>
    </w:pPr>
    <w:rPr>
      <w:rFonts w:hAnsi="宋体" w:cs="宋体"/>
      <w:sz w:val="24"/>
      <w:szCs w:val="24"/>
    </w:rPr>
  </w:style>
  <w:style w:type="character" w:styleId="40">
    <w:name w:val="Strong"/>
    <w:qFormat/>
    <w:uiPriority w:val="0"/>
    <w:rPr>
      <w:b/>
      <w:bCs/>
    </w:rPr>
  </w:style>
  <w:style w:type="character" w:styleId="41">
    <w:name w:val="page number"/>
    <w:basedOn w:val="39"/>
    <w:qFormat/>
    <w:uiPriority w:val="0"/>
  </w:style>
  <w:style w:type="character" w:styleId="42">
    <w:name w:val="FollowedHyperlink"/>
    <w:qFormat/>
    <w:uiPriority w:val="0"/>
    <w:rPr>
      <w:color w:val="800080"/>
      <w:u w:val="single"/>
    </w:rPr>
  </w:style>
  <w:style w:type="character" w:styleId="43">
    <w:name w:val="Hyperlink"/>
    <w:qFormat/>
    <w:uiPriority w:val="99"/>
    <w:rPr>
      <w:color w:val="0000FF"/>
      <w:u w:val="single"/>
    </w:rPr>
  </w:style>
  <w:style w:type="character" w:styleId="44">
    <w:name w:val="annotation reference"/>
    <w:semiHidden/>
    <w:qFormat/>
    <w:uiPriority w:val="0"/>
    <w:rPr>
      <w:sz w:val="21"/>
      <w:szCs w:val="21"/>
    </w:rPr>
  </w:style>
  <w:style w:type="table" w:styleId="46">
    <w:name w:val="Table Grid"/>
    <w:basedOn w:val="4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47">
    <w:name w:val="正文文本 字符"/>
    <w:link w:val="17"/>
    <w:qFormat/>
    <w:uiPriority w:val="0"/>
    <w:rPr>
      <w:rFonts w:eastAsia="宋体"/>
      <w:kern w:val="2"/>
      <w:sz w:val="44"/>
      <w:szCs w:val="24"/>
      <w:lang w:val="en-US" w:eastAsia="zh-CN" w:bidi="ar-SA"/>
    </w:rPr>
  </w:style>
  <w:style w:type="character" w:customStyle="1" w:styleId="48">
    <w:name w:val="正文缩进 字符"/>
    <w:link w:val="6"/>
    <w:qFormat/>
    <w:uiPriority w:val="0"/>
    <w:rPr>
      <w:rFonts w:ascii="宋体" w:eastAsia="宋体"/>
      <w:lang w:val="en-US" w:eastAsia="zh-CN" w:bidi="ar-SA"/>
    </w:rPr>
  </w:style>
  <w:style w:type="character" w:customStyle="1" w:styleId="49">
    <w:name w:val="标题 3 字符"/>
    <w:link w:val="4"/>
    <w:qFormat/>
    <w:uiPriority w:val="0"/>
    <w:rPr>
      <w:rFonts w:ascii="宋体" w:eastAsia="宋体"/>
      <w:b/>
      <w:bCs/>
      <w:sz w:val="32"/>
      <w:szCs w:val="32"/>
      <w:lang w:val="en-US" w:eastAsia="zh-CN" w:bidi="ar-SA"/>
    </w:rPr>
  </w:style>
  <w:style w:type="character" w:customStyle="1" w:styleId="50">
    <w:name w:val="apple-converted-space"/>
    <w:basedOn w:val="39"/>
    <w:qFormat/>
    <w:uiPriority w:val="0"/>
  </w:style>
  <w:style w:type="character" w:customStyle="1" w:styleId="51">
    <w:name w:val="标题 4 字符"/>
    <w:link w:val="5"/>
    <w:qFormat/>
    <w:uiPriority w:val="0"/>
    <w:rPr>
      <w:rFonts w:ascii="Arial" w:hAnsi="Arial" w:eastAsia="黑体" w:cs="Arial"/>
      <w:b/>
      <w:bCs/>
      <w:kern w:val="2"/>
      <w:sz w:val="28"/>
      <w:szCs w:val="28"/>
      <w:lang w:val="en-US" w:eastAsia="zh-CN" w:bidi="ar-SA"/>
    </w:rPr>
  </w:style>
  <w:style w:type="character" w:customStyle="1" w:styleId="52">
    <w:name w:val="kehuabt_ry1"/>
    <w:qFormat/>
    <w:uiPriority w:val="0"/>
    <w:rPr>
      <w:b/>
      <w:bCs/>
      <w:color w:val="1C7DA0"/>
      <w:sz w:val="21"/>
      <w:szCs w:val="21"/>
    </w:rPr>
  </w:style>
  <w:style w:type="character" w:customStyle="1" w:styleId="53">
    <w:name w:val="style51"/>
    <w:qFormat/>
    <w:uiPriority w:val="0"/>
    <w:rPr>
      <w:sz w:val="17"/>
      <w:szCs w:val="17"/>
    </w:rPr>
  </w:style>
  <w:style w:type="character" w:customStyle="1" w:styleId="54">
    <w:name w:val="小四 段落 宋体 Char Char"/>
    <w:link w:val="55"/>
    <w:qFormat/>
    <w:uiPriority w:val="0"/>
    <w:rPr>
      <w:rFonts w:ascii="仿宋_GB2312" w:eastAsia="仿宋_GB2312"/>
      <w:kern w:val="2"/>
      <w:sz w:val="30"/>
      <w:szCs w:val="30"/>
      <w:lang w:val="en-US" w:eastAsia="zh-CN" w:bidi="ar-SA"/>
    </w:rPr>
  </w:style>
  <w:style w:type="paragraph" w:customStyle="1" w:styleId="55">
    <w:name w:val="小四 段落 宋体 Char"/>
    <w:basedOn w:val="18"/>
    <w:link w:val="54"/>
    <w:qFormat/>
    <w:uiPriority w:val="0"/>
    <w:pPr>
      <w:ind w:left="0" w:right="-33" w:firstLine="600" w:firstLineChars="200"/>
      <w:jc w:val="left"/>
    </w:pPr>
    <w:rPr>
      <w:rFonts w:ascii="仿宋_GB2312" w:eastAsia="仿宋_GB2312"/>
      <w:sz w:val="30"/>
      <w:szCs w:val="30"/>
    </w:rPr>
  </w:style>
  <w:style w:type="character" w:customStyle="1" w:styleId="56">
    <w:name w:val="st1"/>
    <w:basedOn w:val="39"/>
    <w:qFormat/>
    <w:uiPriority w:val="0"/>
  </w:style>
  <w:style w:type="character" w:customStyle="1" w:styleId="57">
    <w:name w:val="副标题 字符"/>
    <w:link w:val="32"/>
    <w:qFormat/>
    <w:uiPriority w:val="0"/>
    <w:rPr>
      <w:rFonts w:ascii="Cambria" w:hAnsi="Cambria"/>
      <w:b/>
      <w:bCs/>
      <w:kern w:val="28"/>
      <w:sz w:val="32"/>
      <w:szCs w:val="32"/>
    </w:rPr>
  </w:style>
  <w:style w:type="character" w:customStyle="1" w:styleId="58">
    <w:name w:val="样式 仿宋_GB2312 小四 加粗 黑色"/>
    <w:qFormat/>
    <w:uiPriority w:val="0"/>
    <w:rPr>
      <w:rFonts w:ascii="仿宋_GB2312" w:eastAsia="仿宋_GB2312"/>
      <w:b/>
      <w:bCs/>
      <w:color w:val="000000"/>
      <w:kern w:val="0"/>
      <w:sz w:val="24"/>
      <w:szCs w:val="24"/>
      <w:lang w:val="en-US" w:eastAsia="zh-CN" w:bidi="ar-SA"/>
    </w:rPr>
  </w:style>
  <w:style w:type="character" w:customStyle="1" w:styleId="59">
    <w:name w:val="标题 1 字符"/>
    <w:link w:val="2"/>
    <w:qFormat/>
    <w:uiPriority w:val="0"/>
    <w:rPr>
      <w:rFonts w:ascii="宋体" w:eastAsia="宋体"/>
      <w:b/>
      <w:bCs/>
      <w:kern w:val="44"/>
      <w:sz w:val="44"/>
      <w:szCs w:val="44"/>
      <w:lang w:val="en-US" w:eastAsia="zh-CN" w:bidi="ar-SA"/>
    </w:rPr>
  </w:style>
  <w:style w:type="paragraph" w:customStyle="1" w:styleId="60">
    <w:name w:val="p0"/>
    <w:basedOn w:val="1"/>
    <w:qFormat/>
    <w:uiPriority w:val="0"/>
    <w:pPr>
      <w:widowControl/>
      <w:autoSpaceDE/>
      <w:autoSpaceDN/>
      <w:adjustRightInd/>
      <w:jc w:val="both"/>
    </w:pPr>
    <w:rPr>
      <w:rFonts w:ascii="Calibri" w:hAnsi="Calibri" w:cs="宋体"/>
      <w:sz w:val="21"/>
      <w:szCs w:val="21"/>
    </w:rPr>
  </w:style>
  <w:style w:type="paragraph" w:customStyle="1" w:styleId="61">
    <w:name w:val="2"/>
    <w:basedOn w:val="1"/>
    <w:qFormat/>
    <w:uiPriority w:val="0"/>
    <w:pPr>
      <w:autoSpaceDE/>
      <w:autoSpaceDN/>
      <w:adjustRightInd/>
      <w:jc w:val="both"/>
    </w:pPr>
    <w:rPr>
      <w:rFonts w:ascii="Tahoma" w:hAnsi="Tahoma"/>
      <w:kern w:val="2"/>
      <w:sz w:val="24"/>
    </w:rPr>
  </w:style>
  <w:style w:type="paragraph" w:customStyle="1" w:styleId="62">
    <w:name w:val="表格文字"/>
    <w:next w:val="1"/>
    <w:qFormat/>
    <w:uiPriority w:val="0"/>
    <w:rPr>
      <w:rFonts w:ascii="Times New Roman" w:hAnsi="Times New Roman" w:eastAsia="宋体" w:cs="Times New Roman"/>
      <w:sz w:val="21"/>
      <w:lang w:val="en-US" w:eastAsia="zh-CN" w:bidi="ar-SA"/>
    </w:rPr>
  </w:style>
  <w:style w:type="paragraph" w:customStyle="1" w:styleId="63">
    <w:name w:val="Char"/>
    <w:basedOn w:val="1"/>
    <w:qFormat/>
    <w:uiPriority w:val="0"/>
    <w:pPr>
      <w:tabs>
        <w:tab w:val="left" w:pos="360"/>
      </w:tabs>
      <w:autoSpaceDE/>
      <w:autoSpaceDN/>
      <w:adjustRightInd/>
      <w:jc w:val="both"/>
    </w:pPr>
    <w:rPr>
      <w:rFonts w:ascii="Times New Roman"/>
      <w:kern w:val="2"/>
      <w:sz w:val="24"/>
      <w:szCs w:val="24"/>
    </w:rPr>
  </w:style>
  <w:style w:type="paragraph" w:customStyle="1" w:styleId="64">
    <w:name w:val="符号与编号"/>
    <w:basedOn w:val="1"/>
    <w:qFormat/>
    <w:uiPriority w:val="0"/>
    <w:pPr>
      <w:tabs>
        <w:tab w:val="left" w:pos="900"/>
      </w:tabs>
      <w:autoSpaceDE/>
      <w:autoSpaceDN/>
      <w:adjustRightInd/>
      <w:spacing w:afterLines="50" w:line="360" w:lineRule="auto"/>
      <w:ind w:left="902" w:hanging="420"/>
    </w:pPr>
    <w:rPr>
      <w:rFonts w:hAnsi="宋体"/>
      <w:snapToGrid w:val="0"/>
      <w:kern w:val="2"/>
      <w:sz w:val="24"/>
      <w:szCs w:val="24"/>
    </w:rPr>
  </w:style>
  <w:style w:type="paragraph" w:customStyle="1" w:styleId="65">
    <w:name w:val="flType"/>
    <w:basedOn w:val="1"/>
    <w:qFormat/>
    <w:uiPriority w:val="0"/>
    <w:pPr>
      <w:tabs>
        <w:tab w:val="left" w:pos="425"/>
      </w:tabs>
      <w:autoSpaceDE/>
      <w:autoSpaceDN/>
      <w:spacing w:after="284" w:line="113" w:lineRule="atLeast"/>
      <w:jc w:val="center"/>
      <w:textAlignment w:val="baseline"/>
    </w:pPr>
    <w:rPr>
      <w:rFonts w:ascii="Times New Roman"/>
      <w:sz w:val="24"/>
    </w:rPr>
  </w:style>
  <w:style w:type="paragraph" w:customStyle="1" w:styleId="66">
    <w:name w:val="Char Char1 Char Char Char Char Char Char Char Char"/>
    <w:basedOn w:val="1"/>
    <w:qFormat/>
    <w:uiPriority w:val="0"/>
    <w:pPr>
      <w:widowControl/>
      <w:autoSpaceDE/>
      <w:autoSpaceDN/>
      <w:adjustRightInd/>
      <w:spacing w:after="160" w:line="240" w:lineRule="exact"/>
    </w:pPr>
    <w:rPr>
      <w:rFonts w:ascii="Verdana" w:hAnsi="Verdana"/>
      <w:lang w:eastAsia="en-US"/>
    </w:rPr>
  </w:style>
  <w:style w:type="paragraph" w:customStyle="1" w:styleId="67">
    <w:name w:val="_Style 16"/>
    <w:basedOn w:val="1"/>
    <w:qFormat/>
    <w:uiPriority w:val="0"/>
    <w:pPr>
      <w:autoSpaceDE/>
      <w:autoSpaceDN/>
      <w:adjustRightInd/>
      <w:jc w:val="both"/>
    </w:pPr>
    <w:rPr>
      <w:rFonts w:ascii="Tahoma" w:hAnsi="Tahoma"/>
      <w:kern w:val="2"/>
      <w:sz w:val="24"/>
    </w:rPr>
  </w:style>
  <w:style w:type="paragraph" w:customStyle="1" w:styleId="68">
    <w:name w:val="Default"/>
    <w:qFormat/>
    <w:uiPriority w:val="0"/>
    <w:pPr>
      <w:widowControl w:val="0"/>
    </w:pPr>
    <w:rPr>
      <w:rFonts w:ascii="Times New Roman" w:hAnsi="Times New Roman" w:eastAsia="Times New Roman" w:cs="Times New Roman"/>
      <w:color w:val="000000"/>
      <w:sz w:val="24"/>
      <w:lang w:val="en-US" w:eastAsia="en-US" w:bidi="ar-SA"/>
    </w:rPr>
  </w:style>
  <w:style w:type="paragraph" w:customStyle="1" w:styleId="69">
    <w:name w:val="Char1"/>
    <w:basedOn w:val="1"/>
    <w:qFormat/>
    <w:uiPriority w:val="0"/>
    <w:pPr>
      <w:tabs>
        <w:tab w:val="left" w:pos="420"/>
      </w:tabs>
      <w:autoSpaceDE/>
      <w:autoSpaceDN/>
      <w:adjustRightInd/>
      <w:ind w:left="420" w:hanging="420"/>
      <w:jc w:val="both"/>
    </w:pPr>
    <w:rPr>
      <w:rFonts w:ascii="Times New Roman"/>
      <w:kern w:val="2"/>
      <w:sz w:val="24"/>
      <w:szCs w:val="24"/>
    </w:rPr>
  </w:style>
  <w:style w:type="paragraph" w:customStyle="1" w:styleId="70">
    <w:name w:val="Figure Description"/>
    <w:next w:val="1"/>
    <w:qFormat/>
    <w:uiPriority w:val="0"/>
    <w:pPr>
      <w:snapToGrid w:val="0"/>
      <w:spacing w:before="80" w:after="320"/>
      <w:ind w:firstLine="425"/>
      <w:jc w:val="center"/>
    </w:pPr>
    <w:rPr>
      <w:rFonts w:ascii="Arial" w:hAnsi="Arial" w:eastAsia="黑体" w:cs="Times New Roman"/>
      <w:sz w:val="24"/>
      <w:lang w:val="en-US" w:eastAsia="zh-CN" w:bidi="ar-SA"/>
    </w:rPr>
  </w:style>
  <w:style w:type="paragraph" w:customStyle="1" w:styleId="71">
    <w:name w:val="Char Char3 Char Char Char Char Char Char Char"/>
    <w:basedOn w:val="19"/>
    <w:semiHidden/>
    <w:qFormat/>
    <w:uiPriority w:val="0"/>
    <w:rPr>
      <w:rFonts w:ascii="Tahoma" w:hAnsi="Tahoma"/>
      <w:sz w:val="24"/>
    </w:rPr>
  </w:style>
  <w:style w:type="paragraph" w:customStyle="1" w:styleId="72">
    <w:name w:val="南通方案正文"/>
    <w:basedOn w:val="1"/>
    <w:qFormat/>
    <w:uiPriority w:val="0"/>
    <w:pPr>
      <w:autoSpaceDE/>
      <w:autoSpaceDN/>
      <w:adjustRightInd/>
      <w:spacing w:line="360" w:lineRule="auto"/>
      <w:ind w:firstLine="480" w:firstLineChars="200"/>
      <w:jc w:val="both"/>
    </w:pPr>
    <w:rPr>
      <w:rFonts w:ascii="Times New Roman"/>
      <w:kern w:val="2"/>
      <w:sz w:val="24"/>
    </w:rPr>
  </w:style>
  <w:style w:type="paragraph" w:customStyle="1" w:styleId="73">
    <w:name w:val="xl26"/>
    <w:basedOn w:val="1"/>
    <w:qFormat/>
    <w:uiPriority w:val="0"/>
    <w:pPr>
      <w:widowControl/>
      <w:pBdr>
        <w:left w:val="single" w:color="auto" w:sz="4" w:space="0"/>
        <w:bottom w:val="single" w:color="auto" w:sz="4" w:space="0"/>
        <w:right w:val="single" w:color="auto" w:sz="4" w:space="0"/>
      </w:pBdr>
      <w:autoSpaceDE/>
      <w:autoSpaceDN/>
      <w:adjustRightInd/>
      <w:spacing w:before="100" w:beforeAutospacing="1" w:after="100" w:afterAutospacing="1"/>
      <w:jc w:val="center"/>
    </w:pPr>
    <w:rPr>
      <w:rFonts w:ascii="Times New Roman"/>
      <w:sz w:val="24"/>
      <w:szCs w:val="24"/>
    </w:rPr>
  </w:style>
  <w:style w:type="paragraph" w:customStyle="1" w:styleId="74">
    <w:name w:val="Char2"/>
    <w:basedOn w:val="1"/>
    <w:qFormat/>
    <w:uiPriority w:val="0"/>
    <w:pPr>
      <w:widowControl/>
      <w:autoSpaceDE/>
      <w:autoSpaceDN/>
      <w:adjustRightInd/>
      <w:spacing w:line="240" w:lineRule="atLeast"/>
      <w:ind w:left="420" w:firstLine="420"/>
    </w:pPr>
    <w:rPr>
      <w:rFonts w:hAnsi="宋体" w:cs="宋体"/>
      <w:sz w:val="24"/>
      <w:szCs w:val="21"/>
    </w:rPr>
  </w:style>
  <w:style w:type="paragraph" w:customStyle="1" w:styleId="75">
    <w:name w:val="List Paragraph"/>
    <w:basedOn w:val="1"/>
    <w:qFormat/>
    <w:uiPriority w:val="0"/>
    <w:pPr>
      <w:autoSpaceDE/>
      <w:autoSpaceDN/>
      <w:adjustRightInd/>
      <w:ind w:firstLine="420" w:firstLineChars="200"/>
      <w:jc w:val="both"/>
    </w:pPr>
    <w:rPr>
      <w:rFonts w:ascii="Calibri" w:hAnsi="Calibri"/>
      <w:kern w:val="2"/>
      <w:sz w:val="21"/>
      <w:szCs w:val="22"/>
    </w:rPr>
  </w:style>
  <w:style w:type="paragraph" w:customStyle="1" w:styleId="76">
    <w:name w:val="样式 样式 左 首行缩进:2 字符 + 首行缩进:  2 字符 + 首行缩进:  2 字符"/>
    <w:basedOn w:val="1"/>
    <w:qFormat/>
    <w:uiPriority w:val="0"/>
    <w:pPr>
      <w:widowControl/>
      <w:autoSpaceDE/>
      <w:autoSpaceDN/>
      <w:ind w:left="420" w:leftChars="200" w:firstLine="420" w:firstLineChars="200"/>
      <w:textAlignment w:val="baseline"/>
    </w:pPr>
    <w:rPr>
      <w:rFonts w:hAnsi="宋体"/>
      <w:sz w:val="21"/>
      <w:szCs w:val="21"/>
      <w:lang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753E5E-A595-4AF0-AF34-400CAABD2FE9}">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37</Pages>
  <Words>3822</Words>
  <Characters>21788</Characters>
  <Lines>181</Lines>
  <Paragraphs>51</Paragraphs>
  <ScaleCrop>false</ScaleCrop>
  <LinksUpToDate>false</LinksUpToDate>
  <CharactersWithSpaces>25559</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2016-10-10T06:48:00Z</dcterms:created>
  <dc:creator>雨林木风</dc:creator>
  <cp:lastModifiedBy>Administrator</cp:lastModifiedBy>
  <cp:lastPrinted>2016-10-14T00:51:00Z</cp:lastPrinted>
  <dcterms:modified xsi:type="dcterms:W3CDTF">2016-11-24T07:40:26Z</dcterms:modified>
  <dc:title>南京审计学院</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