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sz w:val="72"/>
          <w:szCs w:val="72"/>
        </w:rPr>
      </w:pPr>
      <w:r>
        <w:rPr>
          <w:rFonts w:hint="eastAsia" w:hAnsi="宋体"/>
          <w:sz w:val="72"/>
          <w:szCs w:val="72"/>
        </w:rPr>
        <w:t>南京审计大学</w:t>
      </w:r>
    </w:p>
    <w:p>
      <w:pPr>
        <w:spacing w:line="360" w:lineRule="auto"/>
        <w:jc w:val="center"/>
        <w:rPr>
          <w:rFonts w:hAnsi="宋体"/>
          <w:sz w:val="72"/>
          <w:szCs w:val="72"/>
        </w:rPr>
      </w:pPr>
    </w:p>
    <w:p>
      <w:pPr>
        <w:spacing w:line="360" w:lineRule="auto"/>
        <w:jc w:val="center"/>
        <w:rPr>
          <w:rFonts w:hAnsi="宋体"/>
          <w:sz w:val="72"/>
          <w:szCs w:val="72"/>
        </w:rPr>
      </w:pPr>
      <w:r>
        <w:rPr>
          <w:rFonts w:hint="eastAsia" w:hAnsi="宋体"/>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jc w:val="both"/>
        <w:rPr>
          <w:rFonts w:hAnsi="宋体"/>
          <w:sz w:val="32"/>
          <w:szCs w:val="36"/>
          <w:u w:val="single"/>
        </w:rPr>
      </w:pPr>
      <w:r>
        <w:rPr>
          <w:rFonts w:hint="eastAsia" w:hAnsi="宋体"/>
          <w:sz w:val="32"/>
          <w:szCs w:val="36"/>
        </w:rPr>
        <w:t xml:space="preserve">    采购项目：</w:t>
      </w:r>
      <w:r>
        <w:rPr>
          <w:rFonts w:hint="eastAsia" w:hAnsi="宋体"/>
          <w:sz w:val="32"/>
          <w:szCs w:val="36"/>
          <w:u w:val="single"/>
        </w:rPr>
        <w:t xml:space="preserve">         </w:t>
      </w:r>
      <w:r>
        <w:rPr>
          <w:rFonts w:hint="eastAsia" w:hAnsi="宋体" w:cs="宋体"/>
          <w:sz w:val="32"/>
          <w:szCs w:val="32"/>
          <w:u w:val="single"/>
        </w:rPr>
        <w:t xml:space="preserve">安防控制及显示系统及相关服务 </w:t>
      </w:r>
      <w:r>
        <w:rPr>
          <w:rFonts w:hint="eastAsia" w:hAnsi="宋体" w:cs="宋体"/>
          <w:sz w:val="24"/>
          <w:szCs w:val="24"/>
          <w:u w:val="single"/>
        </w:rPr>
        <w:t xml:space="preserve">        </w:t>
      </w:r>
      <w:r>
        <w:rPr>
          <w:rFonts w:hint="eastAsia" w:hAnsi="宋体" w:cs="宋体"/>
          <w:sz w:val="24"/>
          <w:szCs w:val="24"/>
        </w:rPr>
        <w:t xml:space="preserve">                </w:t>
      </w:r>
    </w:p>
    <w:p>
      <w:pPr>
        <w:ind w:firstLine="640" w:firstLineChars="200"/>
        <w:rPr>
          <w:rFonts w:hAnsi="宋体"/>
          <w:sz w:val="32"/>
          <w:szCs w:val="36"/>
          <w:u w:val="single"/>
        </w:rPr>
      </w:pPr>
      <w:r>
        <w:rPr>
          <w:rFonts w:hint="eastAsia" w:hAnsi="宋体"/>
          <w:sz w:val="32"/>
          <w:szCs w:val="36"/>
        </w:rPr>
        <w:t>采购编号：</w:t>
      </w:r>
      <w:r>
        <w:rPr>
          <w:rFonts w:hint="eastAsia" w:hAnsi="宋体"/>
          <w:sz w:val="32"/>
          <w:szCs w:val="36"/>
          <w:u w:val="single"/>
        </w:rPr>
        <w:t xml:space="preserve">    　      NSC2016-045    　    　</w:t>
      </w:r>
    </w:p>
    <w:p>
      <w:pPr>
        <w:ind w:firstLine="640" w:firstLineChars="200"/>
        <w:rPr>
          <w:rFonts w:hAnsi="宋体"/>
          <w:sz w:val="32"/>
          <w:szCs w:val="36"/>
          <w:u w:val="single"/>
        </w:rPr>
      </w:pPr>
      <w:r>
        <w:rPr>
          <w:rFonts w:hint="eastAsia" w:hAnsi="宋体"/>
          <w:sz w:val="32"/>
          <w:szCs w:val="36"/>
        </w:rPr>
        <w:t>采 购 人：</w:t>
      </w:r>
      <w:r>
        <w:rPr>
          <w:rFonts w:hint="eastAsia" w:hAnsi="宋体"/>
          <w:sz w:val="32"/>
          <w:szCs w:val="36"/>
          <w:u w:val="single"/>
        </w:rPr>
        <w:t xml:space="preserve">    　    　南京审计大学    　     </w:t>
      </w:r>
    </w:p>
    <w:p>
      <w:pPr>
        <w:ind w:firstLine="640" w:firstLineChars="200"/>
        <w:rPr>
          <w:rFonts w:hAnsi="宋体"/>
          <w:sz w:val="32"/>
        </w:rPr>
      </w:pPr>
      <w:r>
        <w:rPr>
          <w:rFonts w:hint="eastAsia" w:hAnsi="宋体"/>
          <w:sz w:val="32"/>
          <w:szCs w:val="36"/>
        </w:rPr>
        <w:t>日    期：</w:t>
      </w:r>
      <w:r>
        <w:rPr>
          <w:rFonts w:hint="eastAsia" w:hAnsi="宋体"/>
          <w:sz w:val="32"/>
          <w:szCs w:val="36"/>
          <w:u w:val="single"/>
        </w:rPr>
        <w:t xml:space="preserve">    　    </w:t>
      </w:r>
      <w:r>
        <w:rPr>
          <w:rFonts w:hint="eastAsia" w:hAnsi="宋体"/>
          <w:sz w:val="32"/>
          <w:szCs w:val="32"/>
          <w:u w:val="single"/>
        </w:rPr>
        <w:t>二○一</w:t>
      </w:r>
      <w:r>
        <w:rPr>
          <w:rFonts w:hint="eastAsia" w:hAnsi="宋体"/>
          <w:sz w:val="32"/>
          <w:szCs w:val="32"/>
          <w:u w:val="single"/>
          <w:lang w:eastAsia="zh-CN"/>
        </w:rPr>
        <w:t>七</w:t>
      </w:r>
      <w:r>
        <w:rPr>
          <w:rFonts w:hint="eastAsia" w:hAnsi="宋体"/>
          <w:sz w:val="32"/>
          <w:szCs w:val="32"/>
          <w:u w:val="single"/>
        </w:rPr>
        <w:t>年二月</w:t>
      </w:r>
      <w:r>
        <w:rPr>
          <w:rFonts w:hint="eastAsia" w:hAnsi="宋体"/>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30"/>
        <w:tabs>
          <w:tab w:val="right" w:leader="dot" w:pos="8312"/>
        </w:tabs>
      </w:pPr>
      <w:r>
        <w:rPr>
          <w:rStyle w:val="43"/>
        </w:rPr>
        <w:fldChar w:fldCharType="begin"/>
      </w:r>
      <w:r>
        <w:rPr>
          <w:rStyle w:val="43"/>
        </w:rPr>
        <w:instrText xml:space="preserve"> TOC \o "1-3" \h \z \u </w:instrText>
      </w:r>
      <w:r>
        <w:rPr>
          <w:rStyle w:val="43"/>
        </w:rPr>
        <w:fldChar w:fldCharType="separate"/>
      </w:r>
      <w:r>
        <w:fldChar w:fldCharType="begin"/>
      </w:r>
      <w:r>
        <w:instrText xml:space="preserve"> HYPERLINK \l "_Toc29493" </w:instrText>
      </w:r>
      <w:r>
        <w:fldChar w:fldCharType="separate"/>
      </w:r>
      <w:r>
        <w:rPr>
          <w:rFonts w:hint="eastAsia" w:hAnsi="宋体"/>
        </w:rPr>
        <w:t>第一章  谈判供应商须知</w:t>
      </w:r>
      <w:r>
        <w:tab/>
      </w:r>
      <w:r>
        <w:fldChar w:fldCharType="begin"/>
      </w:r>
      <w:r>
        <w:instrText xml:space="preserve"> PAGEREF _Toc29493 </w:instrText>
      </w:r>
      <w:r>
        <w:fldChar w:fldCharType="separate"/>
      </w:r>
      <w:r>
        <w:t>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"_Toc7555" </w:instrText>
      </w:r>
      <w:r>
        <w:fldChar w:fldCharType="separate"/>
      </w:r>
      <w:r>
        <w:rPr>
          <w:rFonts w:hint="eastAsia" w:hAnsi="宋体"/>
        </w:rPr>
        <w:t>前附表</w:t>
      </w:r>
      <w:r>
        <w:tab/>
      </w:r>
      <w:r>
        <w:fldChar w:fldCharType="begin"/>
      </w:r>
      <w:r>
        <w:instrText xml:space="preserve"> PAGEREF _Toc7555 </w:instrText>
      </w:r>
      <w:r>
        <w:fldChar w:fldCharType="separate"/>
      </w:r>
      <w:r>
        <w:t>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"_Toc11433" </w:instrText>
      </w:r>
      <w:r>
        <w:fldChar w:fldCharType="separate"/>
      </w:r>
      <w:r>
        <w:rPr>
          <w:rFonts w:hAnsi="宋体"/>
        </w:rPr>
        <w:t xml:space="preserve">一、 </w:t>
      </w:r>
      <w:r>
        <w:rPr>
          <w:rFonts w:hint="eastAsia" w:hAnsi="宋体"/>
        </w:rPr>
        <w:t>总则</w:t>
      </w:r>
      <w:r>
        <w:tab/>
      </w:r>
      <w:r>
        <w:fldChar w:fldCharType="begin"/>
      </w:r>
      <w:r>
        <w:instrText xml:space="preserve"> PAGEREF _Toc11433 </w:instrText>
      </w:r>
      <w:r>
        <w:fldChar w:fldCharType="separate"/>
      </w:r>
      <w:r>
        <w:t>5</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"_Toc20731" </w:instrText>
      </w:r>
      <w:r>
        <w:fldChar w:fldCharType="separate"/>
      </w:r>
      <w:r>
        <w:rPr>
          <w:rFonts w:hint="eastAsia" w:hAnsi="宋体"/>
        </w:rPr>
        <w:t>1．适用范围</w:t>
      </w:r>
      <w:r>
        <w:tab/>
      </w:r>
      <w:r>
        <w:fldChar w:fldCharType="begin"/>
      </w:r>
      <w:r>
        <w:instrText xml:space="preserve"> PAGEREF _Toc20731 </w:instrText>
      </w:r>
      <w:r>
        <w:fldChar w:fldCharType="separate"/>
      </w:r>
      <w:r>
        <w:t>5</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"_Toc15076" </w:instrText>
      </w:r>
      <w:r>
        <w:fldChar w:fldCharType="separate"/>
      </w:r>
      <w:r>
        <w:rPr>
          <w:rFonts w:hint="eastAsia" w:hAnsi="宋体"/>
        </w:rPr>
        <w:t>2．合格的谈判供应商</w:t>
      </w:r>
      <w:r>
        <w:tab/>
      </w:r>
      <w:r>
        <w:fldChar w:fldCharType="begin"/>
      </w:r>
      <w:r>
        <w:instrText xml:space="preserve"> PAGEREF _Toc15076 </w:instrText>
      </w:r>
      <w:r>
        <w:fldChar w:fldCharType="separate"/>
      </w:r>
      <w:r>
        <w:t>5</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"_Toc21499" </w:instrText>
      </w:r>
      <w:r>
        <w:fldChar w:fldCharType="separate"/>
      </w:r>
      <w:r>
        <w:rPr>
          <w:rFonts w:hint="eastAsia" w:hAnsi="宋体"/>
        </w:rPr>
        <w:t>3．竞争性谈判费用</w:t>
      </w:r>
      <w:r>
        <w:tab/>
      </w:r>
      <w:r>
        <w:fldChar w:fldCharType="begin"/>
      </w:r>
      <w:r>
        <w:instrText xml:space="preserve"> PAGEREF _Toc21499 </w:instrText>
      </w:r>
      <w:r>
        <w:fldChar w:fldCharType="separate"/>
      </w:r>
      <w:r>
        <w:t>5</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"_Toc12791" </w:instrText>
      </w:r>
      <w:r>
        <w:fldChar w:fldCharType="separate"/>
      </w:r>
      <w:r>
        <w:rPr>
          <w:rFonts w:hint="eastAsia" w:hAnsi="宋体"/>
        </w:rPr>
        <w:t>4．法律适用</w:t>
      </w:r>
      <w:r>
        <w:tab/>
      </w:r>
      <w:r>
        <w:fldChar w:fldCharType="begin"/>
      </w:r>
      <w:r>
        <w:instrText xml:space="preserve"> PAGEREF _Toc12791 </w:instrText>
      </w:r>
      <w:r>
        <w:fldChar w:fldCharType="separate"/>
      </w:r>
      <w:r>
        <w:t>5</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"_Toc21296" </w:instrText>
      </w:r>
      <w:r>
        <w:fldChar w:fldCharType="separate"/>
      </w:r>
      <w:r>
        <w:rPr>
          <w:rFonts w:hint="eastAsia" w:hAnsi="宋体"/>
        </w:rPr>
        <w:t>5．谈判采购文件的约束力</w:t>
      </w:r>
      <w:r>
        <w:tab/>
      </w:r>
      <w:r>
        <w:fldChar w:fldCharType="begin"/>
      </w:r>
      <w:r>
        <w:instrText xml:space="preserve"> PAGEREF _Toc21296 </w:instrText>
      </w:r>
      <w:r>
        <w:fldChar w:fldCharType="separate"/>
      </w:r>
      <w:r>
        <w:t>6</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"_Toc22829" </w:instrText>
      </w:r>
      <w:r>
        <w:fldChar w:fldCharType="separate"/>
      </w:r>
      <w:r>
        <w:rPr>
          <w:rFonts w:hint="eastAsia" w:hAnsi="宋体"/>
        </w:rPr>
        <w:t>二、谈判采购文件</w:t>
      </w:r>
      <w:r>
        <w:tab/>
      </w:r>
      <w:r>
        <w:fldChar w:fldCharType="begin"/>
      </w:r>
      <w:r>
        <w:instrText xml:space="preserve"> PAGEREF _Toc22829 </w:instrText>
      </w:r>
      <w:r>
        <w:fldChar w:fldCharType="separate"/>
      </w:r>
      <w:r>
        <w:t>6</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"_Toc30891" </w:instrText>
      </w:r>
      <w:r>
        <w:fldChar w:fldCharType="separate"/>
      </w:r>
      <w:r>
        <w:rPr>
          <w:rFonts w:hint="eastAsia" w:hAnsi="宋体"/>
        </w:rPr>
        <w:t>6．谈判采购文件的组成</w:t>
      </w:r>
      <w:r>
        <w:tab/>
      </w:r>
      <w:r>
        <w:fldChar w:fldCharType="begin"/>
      </w:r>
      <w:r>
        <w:instrText xml:space="preserve"> PAGEREF _Toc30891 </w:instrText>
      </w:r>
      <w:r>
        <w:fldChar w:fldCharType="separate"/>
      </w:r>
      <w:r>
        <w:t>6</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"_Toc31361" </w:instrText>
      </w:r>
      <w:r>
        <w:fldChar w:fldCharType="separate"/>
      </w:r>
      <w:r>
        <w:rPr>
          <w:rFonts w:hint="eastAsia" w:hAnsi="宋体"/>
        </w:rPr>
        <w:t>7．谈判采购文件的澄清</w:t>
      </w:r>
      <w:r>
        <w:tab/>
      </w:r>
      <w:r>
        <w:fldChar w:fldCharType="begin"/>
      </w:r>
      <w:r>
        <w:instrText xml:space="preserve"> PAGEREF _Toc31361 </w:instrText>
      </w:r>
      <w:r>
        <w:fldChar w:fldCharType="separate"/>
      </w:r>
      <w:r>
        <w:t>6</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"_Toc13824" </w:instrText>
      </w:r>
      <w:r>
        <w:fldChar w:fldCharType="separate"/>
      </w:r>
      <w:r>
        <w:rPr>
          <w:rFonts w:hint="eastAsia" w:hAnsi="宋体"/>
        </w:rPr>
        <w:t>8．谈判采购文件的更正或补充</w:t>
      </w:r>
      <w:r>
        <w:tab/>
      </w:r>
      <w:r>
        <w:fldChar w:fldCharType="begin"/>
      </w:r>
      <w:r>
        <w:instrText xml:space="preserve"> PAGEREF _Toc13824 </w:instrText>
      </w:r>
      <w:r>
        <w:fldChar w:fldCharType="separate"/>
      </w:r>
      <w:r>
        <w:t>6</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"_Toc23216" </w:instrText>
      </w:r>
      <w:r>
        <w:fldChar w:fldCharType="separate"/>
      </w:r>
      <w:r>
        <w:rPr>
          <w:rFonts w:hint="eastAsia" w:hAnsi="宋体"/>
        </w:rPr>
        <w:t>三  谈判响应文件</w:t>
      </w:r>
      <w:r>
        <w:tab/>
      </w:r>
      <w:r>
        <w:fldChar w:fldCharType="begin"/>
      </w:r>
      <w:r>
        <w:instrText xml:space="preserve"> PAGEREF _Toc23216 </w:instrText>
      </w:r>
      <w:r>
        <w:fldChar w:fldCharType="separate"/>
      </w:r>
      <w:r>
        <w:t>7</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"_Toc22664" </w:instrText>
      </w:r>
      <w:r>
        <w:fldChar w:fldCharType="separate"/>
      </w:r>
      <w:r>
        <w:rPr>
          <w:rFonts w:hint="eastAsia" w:hAnsi="宋体"/>
        </w:rPr>
        <w:t>9．谈判响应文件的语言及度量衡</w:t>
      </w:r>
      <w:r>
        <w:tab/>
      </w:r>
      <w:r>
        <w:fldChar w:fldCharType="begin"/>
      </w:r>
      <w:r>
        <w:instrText xml:space="preserve"> PAGEREF _Toc22664 </w:instrText>
      </w:r>
      <w:r>
        <w:fldChar w:fldCharType="separate"/>
      </w:r>
      <w:r>
        <w:t>7</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"_Toc1785" </w:instrText>
      </w:r>
      <w:r>
        <w:fldChar w:fldCharType="separate"/>
      </w:r>
      <w:r>
        <w:rPr>
          <w:rFonts w:hint="eastAsia" w:hAnsi="宋体"/>
        </w:rPr>
        <w:t>10．谈判响应文件的组成</w:t>
      </w:r>
      <w:r>
        <w:tab/>
      </w:r>
      <w:r>
        <w:fldChar w:fldCharType="begin"/>
      </w:r>
      <w:r>
        <w:instrText xml:space="preserve"> PAGEREF _Toc1785 </w:instrText>
      </w:r>
      <w:r>
        <w:fldChar w:fldCharType="separate"/>
      </w:r>
      <w:r>
        <w:t>7</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"_Toc166" </w:instrText>
      </w:r>
      <w:r>
        <w:fldChar w:fldCharType="separate"/>
      </w:r>
      <w:r>
        <w:rPr>
          <w:rFonts w:hint="eastAsia" w:hAnsi="宋体"/>
        </w:rPr>
        <w:t>11．谈判报价</w:t>
      </w:r>
      <w:r>
        <w:tab/>
      </w:r>
      <w:r>
        <w:fldChar w:fldCharType="begin"/>
      </w:r>
      <w:r>
        <w:instrText xml:space="preserve"> PAGEREF _Toc166 </w:instrText>
      </w:r>
      <w:r>
        <w:fldChar w:fldCharType="separate"/>
      </w:r>
      <w:r>
        <w:t>8</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"_Toc19919" </w:instrText>
      </w:r>
      <w:r>
        <w:fldChar w:fldCharType="separate"/>
      </w:r>
      <w:r>
        <w:rPr>
          <w:rFonts w:hint="eastAsia" w:hAnsi="宋体"/>
        </w:rPr>
        <w:t>12 .谈判报价的货币</w:t>
      </w:r>
      <w:r>
        <w:tab/>
      </w:r>
      <w:r>
        <w:fldChar w:fldCharType="begin"/>
      </w:r>
      <w:r>
        <w:instrText xml:space="preserve"> PAGEREF _Toc19919 </w:instrText>
      </w:r>
      <w:r>
        <w:fldChar w:fldCharType="separate"/>
      </w:r>
      <w:r>
        <w:t>8</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"_Toc7226" </w:instrText>
      </w:r>
      <w:r>
        <w:fldChar w:fldCharType="separate"/>
      </w:r>
      <w:r>
        <w:rPr>
          <w:rFonts w:hint="eastAsia" w:hAnsi="宋体"/>
        </w:rPr>
        <w:t>13 .竞争性谈判保证金</w:t>
      </w:r>
      <w:r>
        <w:tab/>
      </w:r>
      <w:r>
        <w:fldChar w:fldCharType="begin"/>
      </w:r>
      <w:r>
        <w:instrText xml:space="preserve"> PAGEREF _Toc7226 </w:instrText>
      </w:r>
      <w:r>
        <w:fldChar w:fldCharType="separate"/>
      </w:r>
      <w:r>
        <w:t>8</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"_Toc8697" </w:instrText>
      </w:r>
      <w:r>
        <w:fldChar w:fldCharType="separate"/>
      </w:r>
      <w:r>
        <w:rPr>
          <w:rFonts w:hint="eastAsia" w:hAnsi="宋体"/>
        </w:rPr>
        <w:t>14．竞争性谈判有效期</w:t>
      </w:r>
      <w:r>
        <w:tab/>
      </w:r>
      <w:r>
        <w:fldChar w:fldCharType="begin"/>
      </w:r>
      <w:r>
        <w:instrText xml:space="preserve"> PAGEREF _Toc8697 </w:instrText>
      </w:r>
      <w:r>
        <w:fldChar w:fldCharType="separate"/>
      </w:r>
      <w:r>
        <w:t>9</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"_Toc17833" </w:instrText>
      </w:r>
      <w:r>
        <w:fldChar w:fldCharType="separate"/>
      </w:r>
      <w:r>
        <w:rPr>
          <w:rFonts w:hint="eastAsia" w:hAnsi="宋体"/>
        </w:rPr>
        <w:t>15．谈判响应文件的签署及形式</w:t>
      </w:r>
      <w:r>
        <w:tab/>
      </w:r>
      <w:r>
        <w:fldChar w:fldCharType="begin"/>
      </w:r>
      <w:r>
        <w:instrText xml:space="preserve"> PAGEREF _Toc17833 </w:instrText>
      </w:r>
      <w:r>
        <w:fldChar w:fldCharType="separate"/>
      </w:r>
      <w:r>
        <w:t>9</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"_Toc25604" </w:instrText>
      </w:r>
      <w:r>
        <w:fldChar w:fldCharType="separate"/>
      </w:r>
      <w:r>
        <w:rPr>
          <w:rFonts w:hint="eastAsia" w:hAnsi="宋体"/>
        </w:rPr>
        <w:t>四  谈判响应文件的递交</w:t>
      </w:r>
      <w:r>
        <w:tab/>
      </w:r>
      <w:r>
        <w:fldChar w:fldCharType="begin"/>
      </w:r>
      <w:r>
        <w:instrText xml:space="preserve"> PAGEREF _Toc25604 </w:instrText>
      </w:r>
      <w:r>
        <w:fldChar w:fldCharType="separate"/>
      </w:r>
      <w:r>
        <w:t>9</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"_Toc13344" </w:instrText>
      </w:r>
      <w:r>
        <w:fldChar w:fldCharType="separate"/>
      </w:r>
      <w:r>
        <w:rPr>
          <w:rFonts w:hint="eastAsia" w:hAnsi="宋体"/>
        </w:rPr>
        <w:t>16．谈判响应文件的密封及标记</w:t>
      </w:r>
      <w:r>
        <w:tab/>
      </w:r>
      <w:r>
        <w:fldChar w:fldCharType="begin"/>
      </w:r>
      <w:r>
        <w:instrText xml:space="preserve"> PAGEREF _Toc13344 </w:instrText>
      </w:r>
      <w:r>
        <w:fldChar w:fldCharType="separate"/>
      </w:r>
      <w:r>
        <w:t>9</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"_Toc11250" </w:instrText>
      </w:r>
      <w:r>
        <w:fldChar w:fldCharType="separate"/>
      </w:r>
      <w:r>
        <w:rPr>
          <w:rFonts w:hint="eastAsia" w:hAnsi="宋体"/>
        </w:rPr>
        <w:t>17．竞争性谈判响应文件递交截止时间</w:t>
      </w:r>
      <w:r>
        <w:tab/>
      </w:r>
      <w:r>
        <w:fldChar w:fldCharType="begin"/>
      </w:r>
      <w:r>
        <w:instrText xml:space="preserve"> PAGEREF _Toc11250 </w:instrText>
      </w:r>
      <w:r>
        <w:fldChar w:fldCharType="separate"/>
      </w:r>
      <w:r>
        <w:t>10</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"_Toc3840" </w:instrText>
      </w:r>
      <w:r>
        <w:fldChar w:fldCharType="separate"/>
      </w:r>
      <w:r>
        <w:rPr>
          <w:rFonts w:hint="eastAsia" w:hAnsi="宋体"/>
        </w:rPr>
        <w:t>18．迟交的谈判响应文件</w:t>
      </w:r>
      <w:r>
        <w:tab/>
      </w:r>
      <w:r>
        <w:fldChar w:fldCharType="begin"/>
      </w:r>
      <w:r>
        <w:instrText xml:space="preserve"> PAGEREF _Toc3840 </w:instrText>
      </w:r>
      <w:r>
        <w:fldChar w:fldCharType="separate"/>
      </w:r>
      <w:r>
        <w:t>10</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"_Toc15736" </w:instrText>
      </w:r>
      <w:r>
        <w:fldChar w:fldCharType="separate"/>
      </w:r>
      <w:r>
        <w:rPr>
          <w:rFonts w:hint="eastAsia" w:hAnsi="宋体"/>
        </w:rPr>
        <w:t>19．谈判响应文件的修改和撤回</w:t>
      </w:r>
      <w:r>
        <w:tab/>
      </w:r>
      <w:r>
        <w:fldChar w:fldCharType="begin"/>
      </w:r>
      <w:r>
        <w:instrText xml:space="preserve"> PAGEREF _Toc15736 </w:instrText>
      </w:r>
      <w:r>
        <w:fldChar w:fldCharType="separate"/>
      </w:r>
      <w:r>
        <w:t>10</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"_Toc17812" </w:instrText>
      </w:r>
      <w:r>
        <w:fldChar w:fldCharType="separate"/>
      </w:r>
      <w:r>
        <w:rPr>
          <w:rFonts w:hint="eastAsia" w:hAnsi="宋体"/>
        </w:rPr>
        <w:t>五  竞争性谈判及报价</w:t>
      </w:r>
      <w:r>
        <w:tab/>
      </w:r>
      <w:r>
        <w:fldChar w:fldCharType="begin"/>
      </w:r>
      <w:r>
        <w:instrText xml:space="preserve"> PAGEREF _Toc17812 </w:instrText>
      </w:r>
      <w:r>
        <w:fldChar w:fldCharType="separate"/>
      </w:r>
      <w:r>
        <w:t>11</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"_Toc25445" </w:instrText>
      </w:r>
      <w:r>
        <w:fldChar w:fldCharType="separate"/>
      </w:r>
      <w:r>
        <w:rPr>
          <w:rFonts w:hint="eastAsia" w:hAnsi="宋体"/>
        </w:rPr>
        <w:t>20．竞争性谈判报价</w:t>
      </w:r>
      <w:r>
        <w:tab/>
      </w:r>
      <w:r>
        <w:fldChar w:fldCharType="begin"/>
      </w:r>
      <w:r>
        <w:instrText xml:space="preserve"> PAGEREF _Toc25445 </w:instrText>
      </w:r>
      <w:r>
        <w:fldChar w:fldCharType="separate"/>
      </w:r>
      <w:r>
        <w:t>11</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"_Toc21882" </w:instrText>
      </w:r>
      <w:r>
        <w:fldChar w:fldCharType="separate"/>
      </w:r>
      <w:r>
        <w:rPr>
          <w:rFonts w:hint="eastAsia" w:hAnsi="宋体"/>
        </w:rPr>
        <w:t>21．对谈判响应文件的资格性审查和符合性审查</w:t>
      </w:r>
      <w:r>
        <w:tab/>
      </w:r>
      <w:r>
        <w:fldChar w:fldCharType="begin"/>
      </w:r>
      <w:r>
        <w:instrText xml:space="preserve"> PAGEREF _Toc21882 </w:instrText>
      </w:r>
      <w:r>
        <w:fldChar w:fldCharType="separate"/>
      </w:r>
      <w:r>
        <w:t>11</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"_Toc4818" </w:instrText>
      </w:r>
      <w:r>
        <w:fldChar w:fldCharType="separate"/>
      </w:r>
      <w:r>
        <w:rPr>
          <w:rFonts w:hint="eastAsia" w:hAnsi="宋体"/>
        </w:rPr>
        <w:t>22. 具体谈判工作流程</w:t>
      </w:r>
      <w:r>
        <w:tab/>
      </w:r>
      <w:r>
        <w:fldChar w:fldCharType="begin"/>
      </w:r>
      <w:r>
        <w:instrText xml:space="preserve"> PAGEREF _Toc4818 </w:instrText>
      </w:r>
      <w:r>
        <w:fldChar w:fldCharType="separate"/>
      </w:r>
      <w:r>
        <w:t>12</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"_Toc32112" </w:instrText>
      </w:r>
      <w:r>
        <w:fldChar w:fldCharType="separate"/>
      </w:r>
      <w:r>
        <w:rPr>
          <w:rFonts w:hint="eastAsia" w:hAnsi="宋体"/>
        </w:rPr>
        <w:t>23．谈判响应文件的澄清</w:t>
      </w:r>
      <w:r>
        <w:tab/>
      </w:r>
      <w:r>
        <w:fldChar w:fldCharType="begin"/>
      </w:r>
      <w:r>
        <w:instrText xml:space="preserve"> PAGEREF _Toc32112 </w:instrText>
      </w:r>
      <w:r>
        <w:fldChar w:fldCharType="separate"/>
      </w:r>
      <w:r>
        <w:t>13</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"_Toc32085" </w:instrText>
      </w:r>
      <w:r>
        <w:fldChar w:fldCharType="separate"/>
      </w:r>
      <w:r>
        <w:rPr>
          <w:rFonts w:hint="eastAsia" w:hAnsi="宋体"/>
        </w:rPr>
        <w:t>24．确定成交供应商</w:t>
      </w:r>
      <w:r>
        <w:tab/>
      </w:r>
      <w:r>
        <w:fldChar w:fldCharType="begin"/>
      </w:r>
      <w:r>
        <w:instrText xml:space="preserve"> PAGEREF _Toc32085 </w:instrText>
      </w:r>
      <w:r>
        <w:fldChar w:fldCharType="separate"/>
      </w:r>
      <w:r>
        <w:t>13</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"_Toc1885" </w:instrText>
      </w:r>
      <w:r>
        <w:fldChar w:fldCharType="separate"/>
      </w:r>
      <w:r>
        <w:rPr>
          <w:rFonts w:hint="eastAsia" w:hAnsi="宋体"/>
        </w:rPr>
        <w:t>25．谈判过程保密</w:t>
      </w:r>
      <w:r>
        <w:tab/>
      </w:r>
      <w:r>
        <w:fldChar w:fldCharType="begin"/>
      </w:r>
      <w:r>
        <w:instrText xml:space="preserve"> PAGEREF _Toc1885 </w:instrText>
      </w:r>
      <w:r>
        <w:fldChar w:fldCharType="separate"/>
      </w:r>
      <w:r>
        <w:t>13</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"_Toc12621" </w:instrText>
      </w:r>
      <w:r>
        <w:fldChar w:fldCharType="separate"/>
      </w:r>
      <w:r>
        <w:rPr>
          <w:rFonts w:hint="eastAsia" w:hAnsi="宋体"/>
        </w:rPr>
        <w:t>26．谈判供应商不足三家的处理</w:t>
      </w:r>
      <w:r>
        <w:tab/>
      </w:r>
      <w:r>
        <w:fldChar w:fldCharType="begin"/>
      </w:r>
      <w:r>
        <w:instrText xml:space="preserve"> PAGEREF _Toc12621 </w:instrText>
      </w:r>
      <w:r>
        <w:fldChar w:fldCharType="separate"/>
      </w:r>
      <w:r>
        <w:t>14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"_Toc27600" </w:instrText>
      </w:r>
      <w:r>
        <w:fldChar w:fldCharType="separate"/>
      </w:r>
      <w:r>
        <w:rPr>
          <w:rFonts w:hint="eastAsia" w:hAnsi="宋体"/>
        </w:rPr>
        <w:t>六  确定成交供应商及签约</w:t>
      </w:r>
      <w:r>
        <w:tab/>
      </w:r>
      <w:r>
        <w:fldChar w:fldCharType="begin"/>
      </w:r>
      <w:r>
        <w:instrText xml:space="preserve"> PAGEREF _Toc27600 </w:instrText>
      </w:r>
      <w:r>
        <w:fldChar w:fldCharType="separate"/>
      </w:r>
      <w:r>
        <w:t>14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"_Toc8700" </w:instrText>
      </w:r>
      <w:r>
        <w:fldChar w:fldCharType="separate"/>
      </w:r>
      <w:r>
        <w:rPr>
          <w:rFonts w:hint="eastAsia" w:hAnsi="宋体"/>
        </w:rPr>
        <w:t>27．确定成交供应商的原则</w:t>
      </w:r>
      <w:r>
        <w:tab/>
      </w:r>
      <w:r>
        <w:fldChar w:fldCharType="begin"/>
      </w:r>
      <w:r>
        <w:instrText xml:space="preserve"> PAGEREF _Toc8700 </w:instrText>
      </w:r>
      <w:r>
        <w:fldChar w:fldCharType="separate"/>
      </w:r>
      <w:r>
        <w:t>14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"_Toc25165" </w:instrText>
      </w:r>
      <w:r>
        <w:fldChar w:fldCharType="separate"/>
      </w:r>
      <w:r>
        <w:rPr>
          <w:rFonts w:hint="eastAsia" w:hAnsi="宋体"/>
        </w:rPr>
        <w:t>28. 质疑处理</w:t>
      </w:r>
      <w:r>
        <w:tab/>
      </w:r>
      <w:r>
        <w:fldChar w:fldCharType="begin"/>
      </w:r>
      <w:r>
        <w:instrText xml:space="preserve"> PAGEREF _Toc25165 </w:instrText>
      </w:r>
      <w:r>
        <w:fldChar w:fldCharType="separate"/>
      </w:r>
      <w:r>
        <w:t>14</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"_Toc32014" </w:instrText>
      </w:r>
      <w:r>
        <w:fldChar w:fldCharType="separate"/>
      </w:r>
      <w:r>
        <w:rPr>
          <w:rFonts w:hint="eastAsia" w:hAnsi="宋体"/>
        </w:rPr>
        <w:t>29．签订合同</w:t>
      </w:r>
      <w:r>
        <w:tab/>
      </w:r>
      <w:r>
        <w:fldChar w:fldCharType="begin"/>
      </w:r>
      <w:r>
        <w:instrText xml:space="preserve"> PAGEREF _Toc32014 </w:instrText>
      </w:r>
      <w:r>
        <w:fldChar w:fldCharType="separate"/>
      </w:r>
      <w:r>
        <w:t>14</w:t>
      </w:r>
      <w:r>
        <w:fldChar w:fldCharType="end"/>
      </w:r>
      <w:r>
        <w:fldChar w:fldCharType="end"/>
      </w:r>
    </w:p>
    <w:p>
      <w:pPr>
        <w:pStyle w:val="30"/>
        <w:tabs>
          <w:tab w:val="right" w:leader="dot" w:pos="8312"/>
        </w:tabs>
      </w:pPr>
      <w:r>
        <w:fldChar w:fldCharType="begin"/>
      </w:r>
      <w:r>
        <w:instrText xml:space="preserve"> HYPERLINK \l "_Toc19738" </w:instrText>
      </w:r>
      <w:r>
        <w:fldChar w:fldCharType="separate"/>
      </w:r>
      <w:r>
        <w:rPr>
          <w:rFonts w:hint="eastAsia" w:hAnsi="宋体"/>
        </w:rPr>
        <w:t>第二章  采购清单</w:t>
      </w:r>
      <w:r>
        <w:tab/>
      </w:r>
      <w:r>
        <w:fldChar w:fldCharType="begin"/>
      </w:r>
      <w:r>
        <w:instrText xml:space="preserve"> PAGEREF _Toc19738 </w:instrText>
      </w:r>
      <w:r>
        <w:fldChar w:fldCharType="separate"/>
      </w:r>
      <w:r>
        <w:t>16</w:t>
      </w:r>
      <w:r>
        <w:fldChar w:fldCharType="end"/>
      </w:r>
      <w:r>
        <w:fldChar w:fldCharType="end"/>
      </w:r>
    </w:p>
    <w:p>
      <w:pPr>
        <w:pStyle w:val="30"/>
        <w:tabs>
          <w:tab w:val="right" w:leader="dot" w:pos="8312"/>
        </w:tabs>
      </w:pPr>
      <w:r>
        <w:fldChar w:fldCharType="begin"/>
      </w:r>
      <w:r>
        <w:instrText xml:space="preserve"> HYPERLINK \l "_Toc8637" </w:instrText>
      </w:r>
      <w:r>
        <w:fldChar w:fldCharType="separate"/>
      </w:r>
      <w:r>
        <w:rPr>
          <w:rFonts w:hAnsi="宋体"/>
          <w:szCs w:val="32"/>
        </w:rPr>
        <w:t xml:space="preserve">一、 </w:t>
      </w:r>
      <w:r>
        <w:rPr>
          <w:rFonts w:hint="eastAsia" w:hAnsi="宋体"/>
          <w:szCs w:val="32"/>
        </w:rPr>
        <w:t>项目概述</w:t>
      </w:r>
      <w:r>
        <w:tab/>
      </w:r>
      <w:r>
        <w:fldChar w:fldCharType="begin"/>
      </w:r>
      <w:r>
        <w:instrText xml:space="preserve"> PAGEREF _Toc8637 </w:instrText>
      </w:r>
      <w:r>
        <w:fldChar w:fldCharType="separate"/>
      </w:r>
      <w:r>
        <w:t>16</w:t>
      </w:r>
      <w:r>
        <w:fldChar w:fldCharType="end"/>
      </w:r>
      <w:r>
        <w:fldChar w:fldCharType="end"/>
      </w:r>
    </w:p>
    <w:p>
      <w:pPr>
        <w:pStyle w:val="30"/>
        <w:tabs>
          <w:tab w:val="right" w:leader="dot" w:pos="8312"/>
        </w:tabs>
      </w:pPr>
      <w:r>
        <w:fldChar w:fldCharType="begin"/>
      </w:r>
      <w:r>
        <w:instrText xml:space="preserve"> HYPERLINK \l "_Toc9328" </w:instrText>
      </w:r>
      <w:r>
        <w:fldChar w:fldCharType="separate"/>
      </w:r>
      <w:r>
        <w:rPr>
          <w:rFonts w:hint="eastAsia" w:hAnsi="宋体"/>
          <w:szCs w:val="32"/>
        </w:rPr>
        <w:t>二、 系统功能要求</w:t>
      </w:r>
      <w:r>
        <w:tab/>
      </w:r>
      <w:r>
        <w:fldChar w:fldCharType="begin"/>
      </w:r>
      <w:r>
        <w:instrText xml:space="preserve"> PAGEREF _Toc9328 </w:instrText>
      </w:r>
      <w:r>
        <w:fldChar w:fldCharType="separate"/>
      </w:r>
      <w:r>
        <w:t>16</w:t>
      </w:r>
      <w:r>
        <w:fldChar w:fldCharType="end"/>
      </w:r>
      <w:r>
        <w:fldChar w:fldCharType="end"/>
      </w:r>
    </w:p>
    <w:p>
      <w:pPr>
        <w:pStyle w:val="30"/>
        <w:tabs>
          <w:tab w:val="right" w:leader="dot" w:pos="8312"/>
        </w:tabs>
      </w:pPr>
      <w:r>
        <w:fldChar w:fldCharType="begin"/>
      </w:r>
      <w:r>
        <w:instrText xml:space="preserve"> HYPERLINK \l "_Toc28084" </w:instrText>
      </w:r>
      <w:r>
        <w:fldChar w:fldCharType="separate"/>
      </w:r>
      <w:r>
        <w:rPr>
          <w:rFonts w:hint="eastAsia" w:hAnsi="宋体"/>
          <w:szCs w:val="32"/>
        </w:rPr>
        <w:t>三、 主要设备技术参数</w:t>
      </w:r>
      <w:r>
        <w:tab/>
      </w:r>
      <w:r>
        <w:fldChar w:fldCharType="begin"/>
      </w:r>
      <w:r>
        <w:instrText xml:space="preserve"> PAGEREF _Toc28084 </w:instrText>
      </w:r>
      <w:r>
        <w:fldChar w:fldCharType="separate"/>
      </w:r>
      <w:r>
        <w:t>18</w:t>
      </w:r>
      <w:r>
        <w:fldChar w:fldCharType="end"/>
      </w:r>
      <w:r>
        <w:fldChar w:fldCharType="end"/>
      </w:r>
    </w:p>
    <w:p>
      <w:pPr>
        <w:pStyle w:val="30"/>
        <w:tabs>
          <w:tab w:val="right" w:leader="dot" w:pos="8312"/>
        </w:tabs>
      </w:pPr>
      <w:r>
        <w:fldChar w:fldCharType="begin"/>
      </w:r>
      <w:r>
        <w:instrText xml:space="preserve"> HYPERLINK \l "_Toc25660" </w:instrText>
      </w:r>
      <w:r>
        <w:fldChar w:fldCharType="separate"/>
      </w:r>
      <w:r>
        <w:rPr>
          <w:rFonts w:hint="eastAsia" w:hAnsi="宋体"/>
          <w:szCs w:val="32"/>
        </w:rPr>
        <w:t>四、 设备采购清单</w:t>
      </w:r>
      <w:r>
        <w:tab/>
      </w:r>
      <w:r>
        <w:fldChar w:fldCharType="begin"/>
      </w:r>
      <w:r>
        <w:instrText xml:space="preserve"> PAGEREF _Toc25660 </w:instrText>
      </w:r>
      <w:r>
        <w:fldChar w:fldCharType="separate"/>
      </w:r>
      <w:r>
        <w:t>31</w:t>
      </w:r>
      <w:r>
        <w:fldChar w:fldCharType="end"/>
      </w:r>
      <w:r>
        <w:fldChar w:fldCharType="end"/>
      </w:r>
    </w:p>
    <w:p>
      <w:pPr>
        <w:pStyle w:val="30"/>
        <w:tabs>
          <w:tab w:val="right" w:leader="dot" w:pos="8312"/>
        </w:tabs>
      </w:pPr>
      <w:r>
        <w:fldChar w:fldCharType="begin"/>
      </w:r>
      <w:r>
        <w:instrText xml:space="preserve"> HYPERLINK \l "_Toc30298" </w:instrText>
      </w:r>
      <w:r>
        <w:fldChar w:fldCharType="separate"/>
      </w:r>
      <w:r>
        <w:rPr>
          <w:rFonts w:hint="eastAsia" w:hAnsi="宋体"/>
          <w:szCs w:val="32"/>
        </w:rPr>
        <w:t>五、 商务要求</w:t>
      </w:r>
      <w:r>
        <w:tab/>
      </w:r>
      <w:r>
        <w:fldChar w:fldCharType="begin"/>
      </w:r>
      <w:r>
        <w:instrText xml:space="preserve"> PAGEREF _Toc30298 </w:instrText>
      </w:r>
      <w:r>
        <w:fldChar w:fldCharType="separate"/>
      </w:r>
      <w:r>
        <w:t>32</w:t>
      </w:r>
      <w:r>
        <w:fldChar w:fldCharType="end"/>
      </w:r>
      <w:r>
        <w:fldChar w:fldCharType="end"/>
      </w:r>
    </w:p>
    <w:p>
      <w:pPr>
        <w:pStyle w:val="30"/>
        <w:tabs>
          <w:tab w:val="right" w:leader="dot" w:pos="8312"/>
        </w:tabs>
      </w:pPr>
      <w:r>
        <w:fldChar w:fldCharType="begin"/>
      </w:r>
      <w:r>
        <w:instrText xml:space="preserve"> HYPERLINK \l "_Toc22736" </w:instrText>
      </w:r>
      <w:r>
        <w:fldChar w:fldCharType="separate"/>
      </w:r>
      <w:r>
        <w:rPr>
          <w:rFonts w:hint="eastAsia" w:hAnsi="宋体"/>
          <w:szCs w:val="32"/>
        </w:rPr>
        <w:t>六、 交付期和质保期</w:t>
      </w:r>
      <w:r>
        <w:tab/>
      </w:r>
      <w:r>
        <w:fldChar w:fldCharType="begin"/>
      </w:r>
      <w:r>
        <w:instrText xml:space="preserve"> PAGEREF _Toc22736 </w:instrText>
      </w:r>
      <w:r>
        <w:fldChar w:fldCharType="separate"/>
      </w:r>
      <w:r>
        <w:t>33</w:t>
      </w:r>
      <w:r>
        <w:fldChar w:fldCharType="end"/>
      </w:r>
      <w:r>
        <w:fldChar w:fldCharType="end"/>
      </w:r>
    </w:p>
    <w:p>
      <w:pPr>
        <w:pStyle w:val="30"/>
        <w:tabs>
          <w:tab w:val="right" w:leader="dot" w:pos="8312"/>
        </w:tabs>
      </w:pPr>
      <w:r>
        <w:fldChar w:fldCharType="begin"/>
      </w:r>
      <w:r>
        <w:instrText xml:space="preserve"> HYPERLINK \l "_Toc14640" </w:instrText>
      </w:r>
      <w:r>
        <w:fldChar w:fldCharType="separate"/>
      </w:r>
      <w:r>
        <w:rPr>
          <w:rFonts w:hint="eastAsia" w:hAnsi="宋体"/>
        </w:rPr>
        <w:t>第三章 合同条款</w:t>
      </w:r>
      <w:r>
        <w:tab/>
      </w:r>
      <w:r>
        <w:fldChar w:fldCharType="begin"/>
      </w:r>
      <w:r>
        <w:instrText xml:space="preserve"> PAGEREF _Toc14640 </w:instrText>
      </w:r>
      <w:r>
        <w:fldChar w:fldCharType="separate"/>
      </w:r>
      <w:r>
        <w:t>34</w:t>
      </w:r>
      <w:r>
        <w:fldChar w:fldCharType="end"/>
      </w:r>
      <w:r>
        <w:fldChar w:fldCharType="end"/>
      </w:r>
    </w:p>
    <w:p>
      <w:pPr>
        <w:pStyle w:val="30"/>
        <w:tabs>
          <w:tab w:val="right" w:leader="dot" w:pos="8312"/>
        </w:tabs>
      </w:pPr>
      <w:r>
        <w:fldChar w:fldCharType="begin"/>
      </w:r>
      <w:r>
        <w:instrText xml:space="preserve"> HYPERLINK \l "_Toc18997" </w:instrText>
      </w:r>
      <w:r>
        <w:fldChar w:fldCharType="separate"/>
      </w:r>
      <w:r>
        <w:rPr>
          <w:rFonts w:hint="eastAsia" w:hAnsi="宋体"/>
        </w:rPr>
        <w:t>第四章  谈判响应文件格式</w:t>
      </w:r>
      <w:r>
        <w:tab/>
      </w:r>
      <w:r>
        <w:fldChar w:fldCharType="begin"/>
      </w:r>
      <w:r>
        <w:instrText xml:space="preserve"> PAGEREF _Toc18997 </w:instrText>
      </w:r>
      <w:r>
        <w:fldChar w:fldCharType="separate"/>
      </w:r>
      <w:r>
        <w:t>39</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"_Toc25703" </w:instrText>
      </w:r>
      <w:r>
        <w:fldChar w:fldCharType="separate"/>
      </w:r>
      <w:r>
        <w:rPr>
          <w:rFonts w:hint="eastAsia" w:hAnsi="宋体"/>
        </w:rPr>
        <w:t>一、谈判函、谈判报价及项目相关文件</w:t>
      </w:r>
      <w:r>
        <w:tab/>
      </w:r>
      <w:r>
        <w:fldChar w:fldCharType="begin"/>
      </w:r>
      <w:r>
        <w:instrText xml:space="preserve"> PAGEREF _Toc25703 </w:instrText>
      </w:r>
      <w:r>
        <w:fldChar w:fldCharType="separate"/>
      </w:r>
      <w:r>
        <w:t>39</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"_Toc17153" </w:instrText>
      </w:r>
      <w:r>
        <w:fldChar w:fldCharType="separate"/>
      </w:r>
      <w:r>
        <w:rPr>
          <w:rFonts w:hint="eastAsia" w:hAnsi="宋体"/>
          <w:kern w:val="2"/>
          <w:szCs w:val="30"/>
        </w:rPr>
        <w:t>1.竞争性谈判函</w:t>
      </w:r>
      <w:r>
        <w:tab/>
      </w:r>
      <w:r>
        <w:fldChar w:fldCharType="begin"/>
      </w:r>
      <w:r>
        <w:instrText xml:space="preserve"> PAGEREF _Toc17153 </w:instrText>
      </w:r>
      <w:r>
        <w:fldChar w:fldCharType="separate"/>
      </w:r>
      <w:r>
        <w:t>39</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"_Toc8407" </w:instrText>
      </w:r>
      <w:r>
        <w:fldChar w:fldCharType="separate"/>
      </w:r>
      <w:r>
        <w:rPr>
          <w:rFonts w:hint="eastAsia" w:hAnsi="宋体"/>
        </w:rPr>
        <w:t>2.报价一览表</w:t>
      </w:r>
      <w:r>
        <w:tab/>
      </w:r>
      <w:r>
        <w:fldChar w:fldCharType="begin"/>
      </w:r>
      <w:r>
        <w:instrText xml:space="preserve"> PAGEREF _Toc8407 </w:instrText>
      </w:r>
      <w:r>
        <w:fldChar w:fldCharType="separate"/>
      </w:r>
      <w:r>
        <w:t>40</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"_Toc22231" </w:instrText>
      </w:r>
      <w:r>
        <w:fldChar w:fldCharType="separate"/>
      </w:r>
      <w:r>
        <w:rPr>
          <w:rFonts w:hint="eastAsia" w:hAnsi="宋体"/>
        </w:rPr>
        <w:t>3</w:t>
      </w:r>
      <w:r>
        <w:rPr>
          <w:rFonts w:hAnsi="宋体"/>
        </w:rPr>
        <w:t>.</w:t>
      </w:r>
      <w:r>
        <w:rPr>
          <w:rFonts w:hint="eastAsia" w:hAnsi="宋体"/>
        </w:rPr>
        <w:t>谈判</w:t>
      </w:r>
      <w:r>
        <w:rPr>
          <w:rFonts w:hAnsi="宋体"/>
        </w:rPr>
        <w:t>报价明细表</w:t>
      </w:r>
      <w:r>
        <w:tab/>
      </w:r>
      <w:r>
        <w:fldChar w:fldCharType="begin"/>
      </w:r>
      <w:r>
        <w:instrText xml:space="preserve"> PAGEREF _Toc22231 </w:instrText>
      </w:r>
      <w:r>
        <w:fldChar w:fldCharType="separate"/>
      </w:r>
      <w:r>
        <w:t>40</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"_Toc20734" </w:instrText>
      </w:r>
      <w:r>
        <w:fldChar w:fldCharType="separate"/>
      </w:r>
      <w:r>
        <w:rPr>
          <w:rFonts w:hint="eastAsia" w:hAnsi="宋体"/>
        </w:rPr>
        <w:t>4.技术要求响应表</w:t>
      </w:r>
      <w:r>
        <w:tab/>
      </w:r>
      <w:r>
        <w:fldChar w:fldCharType="begin"/>
      </w:r>
      <w:r>
        <w:instrText xml:space="preserve"> PAGEREF _Toc20734 </w:instrText>
      </w:r>
      <w:r>
        <w:fldChar w:fldCharType="separate"/>
      </w:r>
      <w:r>
        <w:t>41</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"_Toc11779" </w:instrText>
      </w:r>
      <w:r>
        <w:fldChar w:fldCharType="separate"/>
      </w:r>
      <w:r>
        <w:rPr>
          <w:rFonts w:hint="eastAsia" w:hAnsi="宋体"/>
        </w:rPr>
        <w:t>5</w:t>
      </w:r>
      <w:r>
        <w:rPr>
          <w:rFonts w:hAnsi="宋体"/>
        </w:rPr>
        <w:t>.</w:t>
      </w:r>
      <w:r>
        <w:rPr>
          <w:rFonts w:hint="eastAsia" w:hAnsi="宋体"/>
        </w:rPr>
        <w:t>服务质量及服务承诺书</w:t>
      </w:r>
      <w:r>
        <w:tab/>
      </w:r>
      <w:r>
        <w:fldChar w:fldCharType="begin"/>
      </w:r>
      <w:r>
        <w:instrText xml:space="preserve"> PAGEREF _Toc11779 </w:instrText>
      </w:r>
      <w:r>
        <w:fldChar w:fldCharType="separate"/>
      </w:r>
      <w:r>
        <w:t>42</w:t>
      </w:r>
      <w:r>
        <w:fldChar w:fldCharType="end"/>
      </w:r>
      <w:r>
        <w:fldChar w:fldCharType="end"/>
      </w:r>
    </w:p>
    <w:p>
      <w:pPr>
        <w:pStyle w:val="36"/>
        <w:tabs>
          <w:tab w:val="right" w:leader="dot" w:pos="8312"/>
          <w:tab w:val="clear" w:pos="8540"/>
        </w:tabs>
        <w:spacing w:line="240" w:lineRule="auto"/>
      </w:pPr>
      <w:r>
        <w:fldChar w:fldCharType="begin"/>
      </w:r>
      <w:r>
        <w:instrText xml:space="preserve"> HYPERLINK \l "_Toc5301" </w:instrText>
      </w:r>
      <w:r>
        <w:fldChar w:fldCharType="separate"/>
      </w:r>
      <w:r>
        <w:rPr>
          <w:rFonts w:hint="eastAsia" w:hAnsi="宋体"/>
        </w:rPr>
        <w:t>二、资格证明文件</w:t>
      </w:r>
      <w:r>
        <w:tab/>
      </w:r>
      <w:r>
        <w:fldChar w:fldCharType="begin"/>
      </w:r>
      <w:r>
        <w:instrText xml:space="preserve"> PAGEREF _Toc5301 </w:instrText>
      </w:r>
      <w:r>
        <w:fldChar w:fldCharType="separate"/>
      </w:r>
      <w:r>
        <w:t>42</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"_Toc1739" </w:instrText>
      </w:r>
      <w:r>
        <w:fldChar w:fldCharType="separate"/>
      </w:r>
      <w:r>
        <w:rPr>
          <w:rFonts w:hint="eastAsia" w:hAnsi="宋体"/>
        </w:rPr>
        <w:t>1.资质证书</w:t>
      </w:r>
      <w:r>
        <w:tab/>
      </w:r>
      <w:r>
        <w:fldChar w:fldCharType="begin"/>
      </w:r>
      <w:r>
        <w:instrText xml:space="preserve"> PAGEREF _Toc1739 </w:instrText>
      </w:r>
      <w:r>
        <w:fldChar w:fldCharType="separate"/>
      </w:r>
      <w:r>
        <w:t>42</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"_Toc8117" </w:instrText>
      </w:r>
      <w:r>
        <w:fldChar w:fldCharType="separate"/>
      </w:r>
      <w:r>
        <w:rPr>
          <w:rFonts w:hint="eastAsia" w:hAnsi="宋体"/>
        </w:rPr>
        <w:t>2.法人授权委托书</w:t>
      </w:r>
      <w:r>
        <w:tab/>
      </w:r>
      <w:r>
        <w:fldChar w:fldCharType="begin"/>
      </w:r>
      <w:r>
        <w:instrText xml:space="preserve"> PAGEREF _Toc8117 </w:instrText>
      </w:r>
      <w:r>
        <w:fldChar w:fldCharType="separate"/>
      </w:r>
      <w:r>
        <w:t>42</w:t>
      </w:r>
      <w:r>
        <w:fldChar w:fldCharType="end"/>
      </w:r>
      <w:r>
        <w:fldChar w:fldCharType="end"/>
      </w:r>
    </w:p>
    <w:p>
      <w:pPr>
        <w:pStyle w:val="23"/>
        <w:tabs>
          <w:tab w:val="right" w:leader="dot" w:pos="8312"/>
          <w:tab w:val="clear" w:pos="8540"/>
        </w:tabs>
        <w:spacing w:line="240" w:lineRule="auto"/>
      </w:pPr>
      <w:r>
        <w:fldChar w:fldCharType="begin"/>
      </w:r>
      <w:r>
        <w:instrText xml:space="preserve"> HYPERLINK \l "_Toc8809" </w:instrText>
      </w:r>
      <w:r>
        <w:fldChar w:fldCharType="separate"/>
      </w:r>
      <w:r>
        <w:rPr>
          <w:rFonts w:hint="eastAsia" w:hAnsi="宋体"/>
        </w:rPr>
        <w:t>3.其他</w:t>
      </w:r>
      <w:r>
        <w:tab/>
      </w:r>
      <w:r>
        <w:fldChar w:fldCharType="begin"/>
      </w:r>
      <w:r>
        <w:instrText xml:space="preserve"> PAGEREF _Toc8809 </w:instrText>
      </w:r>
      <w:r>
        <w:fldChar w:fldCharType="separate"/>
      </w:r>
      <w:r>
        <w:t>43</w:t>
      </w:r>
      <w:r>
        <w:fldChar w:fldCharType="end"/>
      </w:r>
      <w:r>
        <w:fldChar w:fldCharType="end"/>
      </w:r>
    </w:p>
    <w:p>
      <w:pPr>
        <w:pStyle w:val="36"/>
        <w:spacing w:line="240" w:lineRule="auto"/>
        <w:rPr>
          <w:rFonts w:hAnsi="宋体"/>
          <w:sz w:val="24"/>
          <w:szCs w:val="24"/>
        </w:rPr>
      </w:pPr>
      <w:r>
        <w:fldChar w:fldCharType="end"/>
      </w:r>
    </w:p>
    <w:p>
      <w:pPr>
        <w:widowControl/>
        <w:autoSpaceDE/>
        <w:autoSpaceDN/>
        <w:adjustRightInd/>
        <w:rPr>
          <w:rFonts w:hAnsi="宋体"/>
          <w:sz w:val="24"/>
          <w:szCs w:val="24"/>
        </w:rPr>
      </w:pPr>
      <w:r>
        <w:rPr>
          <w:rFonts w:hAnsi="宋体"/>
          <w:sz w:val="24"/>
          <w:szCs w:val="24"/>
        </w:rPr>
        <w:br w:type="page"/>
      </w:r>
    </w:p>
    <w:p>
      <w:pPr>
        <w:pStyle w:val="2"/>
        <w:spacing w:line="360" w:lineRule="auto"/>
        <w:jc w:val="center"/>
        <w:rPr>
          <w:rFonts w:hAnsi="宋体"/>
        </w:rPr>
      </w:pPr>
      <w:bookmarkStart w:id="0" w:name="_Toc29493"/>
      <w:bookmarkStart w:id="1" w:name="_Toc279409995"/>
      <w:r>
        <w:rPr>
          <w:rFonts w:hint="eastAsia" w:hAnsi="宋体"/>
        </w:rPr>
        <w:t>第一章  谈判供应商须知</w:t>
      </w:r>
      <w:bookmarkEnd w:id="0"/>
      <w:bookmarkEnd w:id="1"/>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 xml:space="preserve"> 安防控制及显示系统及相关服务</w:t>
      </w:r>
      <w:r>
        <w:rPr>
          <w:rFonts w:hint="eastAsia" w:hAnsi="宋体"/>
          <w:sz w:val="24"/>
          <w:szCs w:val="28"/>
        </w:rPr>
        <w:t>项目进行采购，欢迎贵单位参加，并提请注意以下事项：</w:t>
      </w:r>
    </w:p>
    <w:p>
      <w:pPr>
        <w:pStyle w:val="3"/>
        <w:spacing w:line="360" w:lineRule="auto"/>
        <w:rPr>
          <w:rFonts w:ascii="宋体" w:hAnsi="宋体" w:eastAsia="宋体"/>
        </w:rPr>
      </w:pPr>
      <w:bookmarkStart w:id="2" w:name="_Toc7555"/>
      <w:r>
        <w:rPr>
          <w:rFonts w:hint="eastAsia" w:ascii="宋体" w:hAnsi="宋体" w:eastAsia="宋体"/>
        </w:rPr>
        <w:t>前附表</w:t>
      </w:r>
      <w:bookmarkEnd w:id="2"/>
    </w:p>
    <w:tbl>
      <w:tblPr>
        <w:tblStyle w:val="45"/>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center"/>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Ansi="宋体"/>
                <w:sz w:val="21"/>
                <w:szCs w:val="21"/>
              </w:rPr>
            </w:pPr>
            <w:r>
              <w:rPr>
                <w:rFonts w:hint="eastAsia" w:hAnsi="宋体"/>
                <w:sz w:val="21"/>
                <w:szCs w:val="21"/>
              </w:rPr>
              <w:t>安防控制及显示系统及相关服务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center"/>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center"/>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Ansi="宋体"/>
                <w:sz w:val="21"/>
                <w:szCs w:val="21"/>
              </w:rPr>
              <w:t>NSC2016-0</w:t>
            </w:r>
            <w:r>
              <w:rPr>
                <w:rFonts w:hint="eastAsia" w:hAnsi="宋体"/>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center"/>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项目负责人：赵老师 徐老师</w:t>
            </w:r>
          </w:p>
          <w:p>
            <w:pPr>
              <w:spacing w:line="400" w:lineRule="exact"/>
              <w:jc w:val="both"/>
              <w:rPr>
                <w:rFonts w:hAnsi="宋体"/>
                <w:sz w:val="21"/>
                <w:szCs w:val="21"/>
              </w:rPr>
            </w:pPr>
            <w:r>
              <w:rPr>
                <w:rFonts w:hint="eastAsia" w:hAnsi="宋体"/>
                <w:sz w:val="21"/>
                <w:szCs w:val="21"/>
              </w:rPr>
              <w:t>电话：025-58318709</w:t>
            </w:r>
            <w:r>
              <w:rPr>
                <w:rFonts w:hAnsi="宋体"/>
                <w:sz w:val="21"/>
                <w:szCs w:val="21"/>
              </w:rPr>
              <w:t xml:space="preserve"> </w:t>
            </w:r>
            <w:r>
              <w:rPr>
                <w:rFonts w:hint="eastAsia" w:hAnsi="宋体"/>
                <w:sz w:val="21"/>
                <w:szCs w:val="21"/>
              </w:rPr>
              <w:t>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3" w:hRule="atLeast"/>
        </w:trPr>
        <w:tc>
          <w:tcPr>
            <w:tcW w:w="661" w:type="dxa"/>
            <w:vAlign w:val="center"/>
          </w:tcPr>
          <w:p>
            <w:pPr>
              <w:spacing w:line="400" w:lineRule="exact"/>
              <w:jc w:val="center"/>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采购人不组织,投标人可自行勘察现场，联系人：李老师1732798376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Ansi="宋体"/>
                <w:sz w:val="21"/>
                <w:szCs w:val="21"/>
              </w:rPr>
            </w:pPr>
            <w:r>
              <w:rPr>
                <w:rFonts w:hint="eastAsia" w:hAnsi="宋体"/>
                <w:sz w:val="21"/>
                <w:szCs w:val="21"/>
              </w:rPr>
              <w:t>金额：人民币</w:t>
            </w:r>
            <w:r>
              <w:rPr>
                <w:rFonts w:hint="eastAsia" w:hAnsi="宋体"/>
                <w:sz w:val="21"/>
                <w:szCs w:val="21"/>
                <w:u w:val="single"/>
              </w:rPr>
              <w:t xml:space="preserve"> 叁仟</w:t>
            </w:r>
            <w:r>
              <w:rPr>
                <w:rFonts w:hint="eastAsia" w:hAnsi="宋体"/>
                <w:b/>
                <w:sz w:val="21"/>
                <w:szCs w:val="21"/>
                <w:u w:val="single"/>
              </w:rPr>
              <w:t xml:space="preserve"> </w:t>
            </w:r>
            <w:r>
              <w:rPr>
                <w:rFonts w:hint="eastAsia" w:hAnsi="宋体"/>
                <w:sz w:val="21"/>
                <w:szCs w:val="21"/>
              </w:rPr>
              <w:t>元整（￥</w:t>
            </w:r>
            <w:r>
              <w:rPr>
                <w:rFonts w:hint="eastAsia" w:hAnsi="宋体"/>
                <w:sz w:val="21"/>
                <w:szCs w:val="21"/>
                <w:u w:val="single"/>
              </w:rPr>
              <w:t xml:space="preserve"> 3000.00 </w:t>
            </w:r>
            <w:r>
              <w:rPr>
                <w:rFonts w:hint="eastAsia"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采购预算</w:t>
            </w:r>
          </w:p>
        </w:tc>
        <w:tc>
          <w:tcPr>
            <w:tcW w:w="6624" w:type="dxa"/>
            <w:vAlign w:val="center"/>
          </w:tcPr>
          <w:p>
            <w:pPr>
              <w:spacing w:line="400" w:lineRule="exact"/>
              <w:jc w:val="both"/>
              <w:rPr>
                <w:rFonts w:hAnsi="宋体"/>
                <w:sz w:val="21"/>
                <w:szCs w:val="21"/>
              </w:rPr>
            </w:pPr>
            <w:r>
              <w:rPr>
                <w:rFonts w:hint="eastAsia" w:hAnsi="宋体"/>
                <w:sz w:val="21"/>
                <w:szCs w:val="21"/>
              </w:rPr>
              <w:t>人民币贰拾伍万元整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center"/>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递交方式</w:t>
            </w:r>
          </w:p>
        </w:tc>
        <w:tc>
          <w:tcPr>
            <w:tcW w:w="6624" w:type="dxa"/>
            <w:vAlign w:val="center"/>
          </w:tcPr>
          <w:p>
            <w:pPr>
              <w:spacing w:line="400" w:lineRule="exact"/>
              <w:jc w:val="both"/>
              <w:rPr>
                <w:rFonts w:hAnsi="宋体"/>
                <w:sz w:val="21"/>
                <w:szCs w:val="21"/>
              </w:rPr>
            </w:pPr>
            <w:r>
              <w:rPr>
                <w:rFonts w:hAnsi="宋体" w:cs="宋体"/>
                <w:sz w:val="21"/>
                <w:szCs w:val="21"/>
              </w:rPr>
              <w:t>递交竞争性谈判响应文件</w:t>
            </w:r>
            <w:r>
              <w:rPr>
                <w:rFonts w:hint="eastAsia" w:hAnsi="宋体" w:cs="宋体"/>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int="eastAsia" w:hAnsi="宋体" w:cs="宋体"/>
                <w:b/>
                <w:sz w:val="21"/>
                <w:szCs w:val="21"/>
                <w:u w:val="single"/>
              </w:rPr>
              <w:t>本</w:t>
            </w:r>
            <w:r>
              <w:rPr>
                <w:rFonts w:hAnsi="宋体" w:cs="宋体"/>
                <w:b/>
                <w:sz w:val="21"/>
                <w:szCs w:val="21"/>
                <w:u w:val="single"/>
              </w:rPr>
              <w:t>票</w:t>
            </w:r>
            <w:r>
              <w:rPr>
                <w:rFonts w:hint="eastAsia" w:hAnsi="宋体" w:cs="宋体"/>
                <w:b/>
                <w:sz w:val="21"/>
                <w:szCs w:val="21"/>
                <w:u w:val="single"/>
              </w:rPr>
              <w:t>、汇票</w:t>
            </w:r>
            <w:r>
              <w:rPr>
                <w:rFonts w:hAnsi="宋体" w:cs="宋体"/>
                <w:b/>
                <w:sz w:val="21"/>
                <w:szCs w:val="21"/>
                <w:u w:val="single"/>
              </w:rPr>
              <w:t>等</w:t>
            </w:r>
            <w:r>
              <w:rPr>
                <w:rFonts w:hAnsi="宋体" w:cs="宋体"/>
                <w:sz w:val="21"/>
                <w:szCs w:val="21"/>
              </w:rPr>
              <w:t>（收款人：南京审计</w:t>
            </w:r>
            <w:r>
              <w:rPr>
                <w:rFonts w:hint="eastAsia" w:hAnsi="宋体" w:cs="宋体"/>
                <w:sz w:val="21"/>
                <w:szCs w:val="21"/>
              </w:rPr>
              <w:t>大学</w:t>
            </w:r>
            <w:r>
              <w:rPr>
                <w:rFonts w:hAnsi="宋体" w:cs="宋体"/>
                <w:sz w:val="21"/>
                <w:szCs w:val="21"/>
              </w:rPr>
              <w:t>；开户行：南京市工行汉府支行；</w:t>
            </w:r>
            <w:r>
              <w:rPr>
                <w:rFonts w:hint="eastAsia" w:hAnsi="宋体" w:cs="宋体"/>
                <w:sz w:val="21"/>
                <w:szCs w:val="21"/>
              </w:rPr>
              <w:t>账</w:t>
            </w:r>
            <w:r>
              <w:rPr>
                <w:rFonts w:hAnsi="宋体" w:cs="宋体"/>
                <w:sz w:val="21"/>
                <w:szCs w:val="21"/>
              </w:rPr>
              <w:t>号</w:t>
            </w:r>
            <w:r>
              <w:rPr>
                <w:rFonts w:hint="eastAsia" w:hAnsi="宋体" w:cs="宋体"/>
                <w:sz w:val="21"/>
                <w:szCs w:val="21"/>
              </w:rPr>
              <w:t>：</w:t>
            </w:r>
            <w:r>
              <w:rPr>
                <w:rFonts w:hAnsi="宋体"/>
                <w:sz w:val="21"/>
                <w:szCs w:val="21"/>
              </w:rPr>
              <w:t>43010158 1910 0302 596</w:t>
            </w:r>
            <w:r>
              <w:rPr>
                <w:rFonts w:hAnsi="宋体" w:cs="宋体"/>
                <w:sz w:val="21"/>
                <w:szCs w:val="21"/>
              </w:rPr>
              <w:t>；</w:t>
            </w:r>
            <w:r>
              <w:rPr>
                <w:rFonts w:hint="eastAsia" w:hAnsi="宋体" w:cs="宋体"/>
                <w:b/>
                <w:sz w:val="21"/>
                <w:szCs w:val="21"/>
              </w:rPr>
              <w:t>注：</w:t>
            </w:r>
            <w:r>
              <w:rPr>
                <w:rFonts w:hAnsi="宋体" w:cs="宋体"/>
                <w:b/>
                <w:sz w:val="21"/>
                <w:szCs w:val="21"/>
              </w:rPr>
              <w:t>不接受现金形式的投标保证金</w:t>
            </w:r>
            <w:r>
              <w:rPr>
                <w:rFonts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center"/>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截止时间： 201</w:t>
            </w:r>
            <w:r>
              <w:rPr>
                <w:rFonts w:hint="eastAsia" w:hAnsi="宋体"/>
                <w:sz w:val="21"/>
                <w:szCs w:val="21"/>
                <w:lang w:val="en-US" w:eastAsia="zh-CN"/>
              </w:rPr>
              <w:t>7</w:t>
            </w:r>
            <w:r>
              <w:rPr>
                <w:rFonts w:hint="eastAsia" w:hAnsi="宋体"/>
                <w:sz w:val="21"/>
                <w:szCs w:val="21"/>
              </w:rPr>
              <w:t>年</w:t>
            </w:r>
            <w:r>
              <w:rPr>
                <w:rFonts w:hint="eastAsia" w:hAnsi="宋体"/>
                <w:sz w:val="21"/>
                <w:szCs w:val="21"/>
                <w:u w:val="single"/>
              </w:rPr>
              <w:t xml:space="preserve"> </w:t>
            </w:r>
            <w:r>
              <w:rPr>
                <w:rFonts w:hint="eastAsia" w:hAnsi="宋体"/>
                <w:sz w:val="21"/>
                <w:szCs w:val="21"/>
                <w:u w:val="single"/>
                <w:lang w:val="en-US" w:eastAsia="zh-CN"/>
              </w:rPr>
              <w:t>3</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2</w:t>
            </w:r>
            <w:bookmarkStart w:id="115" w:name="_GoBack"/>
            <w:bookmarkEnd w:id="115"/>
            <w:r>
              <w:rPr>
                <w:rFonts w:hint="eastAsia" w:hAnsi="宋体"/>
                <w:sz w:val="21"/>
                <w:szCs w:val="21"/>
                <w:u w:val="single"/>
              </w:rPr>
              <w:t xml:space="preserve">  </w:t>
            </w:r>
            <w:r>
              <w:rPr>
                <w:rFonts w:hint="eastAsia" w:hAnsi="宋体"/>
                <w:sz w:val="21"/>
                <w:szCs w:val="21"/>
              </w:rPr>
              <w:t>日上午9:00</w:t>
            </w:r>
          </w:p>
          <w:p>
            <w:pPr>
              <w:spacing w:line="400" w:lineRule="exact"/>
              <w:jc w:val="both"/>
              <w:rPr>
                <w:rFonts w:hAnsi="宋体"/>
                <w:sz w:val="21"/>
                <w:szCs w:val="21"/>
              </w:rPr>
            </w:pPr>
            <w:r>
              <w:rPr>
                <w:rFonts w:hint="eastAsia" w:hAnsi="宋体"/>
                <w:sz w:val="21"/>
                <w:szCs w:val="21"/>
              </w:rPr>
              <w:t>地点： 南京审计大学浦口校区沁园致明楼416室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6" w:hRule="atLeast"/>
        </w:trPr>
        <w:tc>
          <w:tcPr>
            <w:tcW w:w="661" w:type="dxa"/>
            <w:vAlign w:val="center"/>
          </w:tcPr>
          <w:p>
            <w:pPr>
              <w:spacing w:line="400" w:lineRule="exact"/>
              <w:jc w:val="center"/>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肆 </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bl>
    <w:p>
      <w:pPr>
        <w:pStyle w:val="3"/>
        <w:numPr>
          <w:ilvl w:val="0"/>
          <w:numId w:val="1"/>
        </w:numPr>
        <w:spacing w:line="360" w:lineRule="auto"/>
        <w:jc w:val="center"/>
        <w:rPr>
          <w:rFonts w:ascii="宋体" w:hAnsi="宋体" w:eastAsia="宋体"/>
        </w:rPr>
      </w:pPr>
      <w:bookmarkStart w:id="3" w:name="_Toc11433"/>
      <w:bookmarkStart w:id="4" w:name="_Toc279409997"/>
      <w:r>
        <w:rPr>
          <w:rFonts w:hint="eastAsia" w:ascii="宋体" w:hAnsi="宋体" w:eastAsia="宋体"/>
        </w:rPr>
        <w:t>总则</w:t>
      </w:r>
      <w:bookmarkEnd w:id="3"/>
    </w:p>
    <w:p>
      <w:pPr>
        <w:pStyle w:val="3"/>
        <w:spacing w:line="360" w:lineRule="auto"/>
        <w:rPr>
          <w:rFonts w:ascii="宋体" w:hAnsi="宋体" w:eastAsia="宋体"/>
        </w:rPr>
      </w:pPr>
      <w:bookmarkStart w:id="5" w:name="_Toc20731"/>
      <w:r>
        <w:rPr>
          <w:rFonts w:hint="eastAsia" w:ascii="宋体" w:hAnsi="宋体" w:eastAsia="宋体"/>
        </w:rPr>
        <w:t>1．适用范围</w:t>
      </w:r>
      <w:bookmarkEnd w:id="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6" w:name="_Toc15076"/>
      <w:r>
        <w:rPr>
          <w:rFonts w:hint="eastAsia" w:ascii="宋体" w:hAnsi="宋体" w:eastAsia="宋体"/>
        </w:rPr>
        <w:t>2．合格的谈判供应商</w:t>
      </w:r>
      <w:bookmarkEnd w:id="4"/>
      <w:bookmarkEnd w:id="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谈判供应商必须是国内注册并符合本项目相关经营范围的独立法人；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2.2.2谈判供应商须提供2014年1月1日以后与本项目规模类似的相关的业绩案例；</w:t>
      </w:r>
    </w:p>
    <w:p>
      <w:pPr>
        <w:pStyle w:val="33"/>
        <w:spacing w:line="360" w:lineRule="auto"/>
        <w:ind w:left="0" w:firstLine="480" w:firstLineChars="200"/>
        <w:rPr>
          <w:rFonts w:ascii="宋体" w:hAnsi="宋体"/>
          <w:color w:val="FF0000"/>
          <w:kern w:val="0"/>
          <w:sz w:val="24"/>
          <w:szCs w:val="28"/>
        </w:rPr>
      </w:pPr>
      <w:r>
        <w:rPr>
          <w:rFonts w:hint="eastAsia" w:ascii="宋体" w:hAnsi="宋体"/>
          <w:color w:val="FF0000"/>
          <w:kern w:val="0"/>
          <w:sz w:val="24"/>
          <w:szCs w:val="28"/>
          <w:highlight w:val="yellow"/>
        </w:rPr>
        <w:t>2.2.3谈判供应商需提供生产商针对本项目原厂授权和原厂质保承诺函（≥3年）</w:t>
      </w:r>
      <w:r>
        <w:rPr>
          <w:rFonts w:hint="eastAsia" w:ascii="宋体" w:hAnsi="宋体"/>
          <w:color w:val="FF0000"/>
          <w:kern w:val="0"/>
          <w:sz w:val="24"/>
          <w:szCs w:val="28"/>
        </w:rPr>
        <w:t>。</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2.3谈判供应商应遵守中华人民共和国《政府采购法》、《招标投标法》《合同法》和《反不正当竞争法》等有关法律、法规，如有违反，将视为不合格谈判供应商，其谈判响应文件无效。</w:t>
      </w:r>
    </w:p>
    <w:p>
      <w:pPr>
        <w:pStyle w:val="3"/>
        <w:spacing w:line="360" w:lineRule="auto"/>
        <w:rPr>
          <w:rFonts w:ascii="宋体" w:hAnsi="宋体" w:eastAsia="宋体"/>
        </w:rPr>
      </w:pPr>
      <w:bookmarkStart w:id="7" w:name="_Toc21499"/>
      <w:r>
        <w:rPr>
          <w:rFonts w:hint="eastAsia" w:ascii="宋体" w:hAnsi="宋体" w:eastAsia="宋体"/>
        </w:rPr>
        <w:t>3．竞争性谈判费用</w:t>
      </w:r>
      <w:bookmarkEnd w:id="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8" w:name="_Toc12791"/>
      <w:r>
        <w:rPr>
          <w:rFonts w:hint="eastAsia" w:ascii="宋体" w:hAnsi="宋体" w:eastAsia="宋体"/>
        </w:rPr>
        <w:t>4．法律适用</w:t>
      </w:r>
      <w:bookmarkEnd w:id="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9" w:name="_Toc321385701"/>
      <w:bookmarkStart w:id="10" w:name="_Toc21296"/>
      <w:r>
        <w:rPr>
          <w:rFonts w:hint="eastAsia" w:ascii="宋体" w:hAnsi="宋体" w:eastAsia="宋体"/>
        </w:rPr>
        <w:t>5．谈判采购文件的约束力</w:t>
      </w:r>
      <w:bookmarkEnd w:id="9"/>
      <w:bookmarkEnd w:id="1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1" w:name="_Toc321385702"/>
      <w:bookmarkStart w:id="12" w:name="_Toc22829"/>
      <w:r>
        <w:rPr>
          <w:rFonts w:hint="eastAsia" w:ascii="宋体" w:hAnsi="宋体" w:eastAsia="宋体"/>
        </w:rPr>
        <w:t>二、谈判采购文件</w:t>
      </w:r>
      <w:bookmarkEnd w:id="11"/>
      <w:bookmarkEnd w:id="12"/>
    </w:p>
    <w:p>
      <w:pPr>
        <w:pStyle w:val="3"/>
        <w:spacing w:line="360" w:lineRule="auto"/>
        <w:rPr>
          <w:rFonts w:ascii="宋体" w:hAnsi="宋体" w:eastAsia="宋体"/>
        </w:rPr>
      </w:pPr>
      <w:bookmarkStart w:id="13" w:name="_Toc321385703"/>
      <w:bookmarkStart w:id="14" w:name="_Toc30891"/>
      <w:r>
        <w:rPr>
          <w:rFonts w:hint="eastAsia" w:ascii="宋体" w:hAnsi="宋体" w:eastAsia="宋体"/>
        </w:rPr>
        <w:t>6．谈判采购文件的组成</w:t>
      </w:r>
      <w:bookmarkEnd w:id="13"/>
      <w:bookmarkEnd w:id="1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15" w:name="_Toc321385704"/>
      <w:bookmarkStart w:id="16" w:name="_Toc31361"/>
      <w:r>
        <w:rPr>
          <w:rFonts w:hint="eastAsia" w:ascii="宋体" w:hAnsi="宋体" w:eastAsia="宋体"/>
        </w:rPr>
        <w:t>7．谈判采购文件的澄清</w:t>
      </w:r>
      <w:bookmarkEnd w:id="15"/>
      <w:bookmarkEnd w:id="1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17" w:name="_Toc321385705"/>
      <w:bookmarkStart w:id="18" w:name="_Toc13824"/>
      <w:r>
        <w:rPr>
          <w:rFonts w:hint="eastAsia" w:ascii="宋体" w:hAnsi="宋体" w:eastAsia="宋体"/>
        </w:rPr>
        <w:t>8．谈判采购文件的更正或补充</w:t>
      </w:r>
      <w:bookmarkEnd w:id="17"/>
      <w:bookmarkEnd w:id="1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19" w:name="_Toc23216"/>
      <w:bookmarkStart w:id="20" w:name="_Toc321385706"/>
      <w:r>
        <w:rPr>
          <w:rFonts w:hint="eastAsia" w:ascii="宋体" w:hAnsi="宋体" w:eastAsia="宋体"/>
        </w:rPr>
        <w:t>三  谈判响应文件</w:t>
      </w:r>
      <w:bookmarkEnd w:id="19"/>
      <w:bookmarkEnd w:id="20"/>
    </w:p>
    <w:p>
      <w:pPr>
        <w:pStyle w:val="3"/>
        <w:rPr>
          <w:rFonts w:ascii="宋体" w:hAnsi="宋体" w:eastAsia="宋体"/>
        </w:rPr>
      </w:pPr>
      <w:bookmarkStart w:id="21" w:name="_Toc321385707"/>
      <w:bookmarkStart w:id="22" w:name="_Toc22664"/>
      <w:r>
        <w:rPr>
          <w:rFonts w:hint="eastAsia" w:ascii="宋体" w:hAnsi="宋体" w:eastAsia="宋体"/>
        </w:rPr>
        <w:t>9．谈判响应文件的语言及度量衡</w:t>
      </w:r>
      <w:bookmarkEnd w:id="21"/>
      <w:bookmarkEnd w:id="2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23" w:name="_Toc321385708"/>
      <w:bookmarkStart w:id="24" w:name="_Toc1785"/>
      <w:r>
        <w:rPr>
          <w:rFonts w:hint="eastAsia" w:ascii="宋体" w:hAnsi="宋体" w:eastAsia="宋体"/>
        </w:rPr>
        <w:t>10．谈判响应文件的组成</w:t>
      </w:r>
      <w:bookmarkEnd w:id="23"/>
      <w:bookmarkEnd w:id="2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25" w:name="_Toc321385709"/>
      <w:bookmarkStart w:id="26" w:name="_Toc166"/>
      <w:r>
        <w:rPr>
          <w:rFonts w:hint="eastAsia" w:ascii="宋体" w:hAnsi="宋体" w:eastAsia="宋体"/>
        </w:rPr>
        <w:t>11．谈判报价</w:t>
      </w:r>
      <w:bookmarkEnd w:id="25"/>
      <w:bookmarkEnd w:id="2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27" w:name="_Toc321385710"/>
      <w:bookmarkStart w:id="28" w:name="_Toc19919"/>
      <w:r>
        <w:rPr>
          <w:rFonts w:hint="eastAsia" w:ascii="宋体" w:hAnsi="宋体" w:eastAsia="宋体"/>
        </w:rPr>
        <w:t>12 .谈判报价的货币</w:t>
      </w:r>
      <w:bookmarkEnd w:id="27"/>
      <w:bookmarkEnd w:id="2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29" w:name="_Toc321385711"/>
      <w:bookmarkStart w:id="30" w:name="_Toc7226"/>
      <w:r>
        <w:rPr>
          <w:rFonts w:hint="eastAsia" w:ascii="宋体" w:hAnsi="宋体" w:eastAsia="宋体"/>
        </w:rPr>
        <w:t>13 .竞争性谈判保证金</w:t>
      </w:r>
      <w:bookmarkEnd w:id="29"/>
      <w:bookmarkEnd w:id="3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保证金的交纳形式为有效银行转账支票、银行汇票等（采购人不接受现金或其他形式的保证金）。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成交候选人的竞争性谈判保证金在其与采购人签订合同后无息退还。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3"/>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31" w:name="_Toc321385712"/>
      <w:bookmarkStart w:id="32" w:name="_Toc8697"/>
      <w:r>
        <w:rPr>
          <w:rFonts w:hint="eastAsia" w:ascii="宋体" w:hAnsi="宋体" w:eastAsia="宋体"/>
        </w:rPr>
        <w:t>14．竞争性谈判有效期</w:t>
      </w:r>
      <w:bookmarkEnd w:id="31"/>
      <w:bookmarkEnd w:id="3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33" w:name="_Toc321385713"/>
      <w:bookmarkStart w:id="34" w:name="_Toc17833"/>
      <w:r>
        <w:rPr>
          <w:rFonts w:hint="eastAsia" w:ascii="宋体" w:hAnsi="宋体" w:eastAsia="宋体"/>
        </w:rPr>
        <w:t>15．谈判响应文件的签署及形式</w:t>
      </w:r>
      <w:bookmarkEnd w:id="33"/>
      <w:bookmarkEnd w:id="3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35" w:name="_Toc321385714"/>
      <w:bookmarkStart w:id="36" w:name="_Toc25604"/>
      <w:r>
        <w:rPr>
          <w:rFonts w:hint="eastAsia" w:ascii="宋体" w:hAnsi="宋体" w:eastAsia="宋体"/>
        </w:rPr>
        <w:t>四  谈判响应文件的递交</w:t>
      </w:r>
      <w:bookmarkEnd w:id="35"/>
      <w:bookmarkEnd w:id="36"/>
    </w:p>
    <w:p>
      <w:pPr>
        <w:pStyle w:val="3"/>
        <w:rPr>
          <w:rFonts w:ascii="宋体" w:hAnsi="宋体" w:eastAsia="宋体"/>
        </w:rPr>
      </w:pPr>
      <w:bookmarkStart w:id="37" w:name="_Toc321385715"/>
      <w:bookmarkStart w:id="38" w:name="_Toc13344"/>
      <w:r>
        <w:rPr>
          <w:rFonts w:hint="eastAsia" w:ascii="宋体" w:hAnsi="宋体" w:eastAsia="宋体"/>
        </w:rPr>
        <w:t>16．谈判响应文件的密封及标记</w:t>
      </w:r>
      <w:bookmarkEnd w:id="37"/>
      <w:bookmarkEnd w:id="3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39" w:name="_Toc321385716"/>
      <w:bookmarkStart w:id="40" w:name="_Toc11250"/>
      <w:r>
        <w:rPr>
          <w:rFonts w:hint="eastAsia" w:ascii="宋体" w:hAnsi="宋体" w:eastAsia="宋体"/>
        </w:rPr>
        <w:t>17．竞争性谈判响应文件递交截止时间</w:t>
      </w:r>
      <w:bookmarkEnd w:id="39"/>
      <w:bookmarkEnd w:id="4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41" w:name="_Toc321385717"/>
      <w:bookmarkStart w:id="42" w:name="_Toc3840"/>
      <w:r>
        <w:rPr>
          <w:rFonts w:hint="eastAsia" w:ascii="宋体" w:hAnsi="宋体" w:eastAsia="宋体"/>
        </w:rPr>
        <w:t>18．迟交的谈判响应文件</w:t>
      </w:r>
      <w:bookmarkEnd w:id="41"/>
      <w:bookmarkEnd w:id="4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43" w:name="_Toc321385718"/>
      <w:bookmarkStart w:id="44" w:name="_Toc15736"/>
      <w:r>
        <w:rPr>
          <w:rFonts w:hint="eastAsia" w:ascii="宋体" w:hAnsi="宋体" w:eastAsia="宋体"/>
        </w:rPr>
        <w:t>19．谈判响应文件的修改和撤回</w:t>
      </w:r>
      <w:bookmarkEnd w:id="43"/>
      <w:bookmarkEnd w:id="4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45" w:name="_Toc321385719"/>
      <w:bookmarkStart w:id="46" w:name="_Toc17812"/>
      <w:r>
        <w:rPr>
          <w:rFonts w:hint="eastAsia" w:ascii="宋体" w:hAnsi="宋体" w:eastAsia="宋体"/>
        </w:rPr>
        <w:t>五  竞争性谈判及报价</w:t>
      </w:r>
      <w:bookmarkEnd w:id="45"/>
      <w:bookmarkEnd w:id="46"/>
    </w:p>
    <w:p>
      <w:pPr>
        <w:pStyle w:val="3"/>
        <w:rPr>
          <w:rFonts w:ascii="宋体" w:hAnsi="宋体" w:eastAsia="宋体"/>
        </w:rPr>
      </w:pPr>
      <w:bookmarkStart w:id="47" w:name="_Toc321385720"/>
      <w:bookmarkStart w:id="48" w:name="_Toc25445"/>
      <w:r>
        <w:rPr>
          <w:rFonts w:hint="eastAsia" w:ascii="宋体" w:hAnsi="宋体" w:eastAsia="宋体"/>
        </w:rPr>
        <w:t>20．竞争性谈判报价</w:t>
      </w:r>
      <w:bookmarkEnd w:id="47"/>
      <w:bookmarkEnd w:id="4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3"/>
        <w:spacing w:line="360" w:lineRule="auto"/>
        <w:ind w:left="0" w:firstLine="480" w:firstLineChars="200"/>
        <w:rPr>
          <w:rFonts w:ascii="宋体" w:hAnsi="宋体"/>
          <w:kern w:val="0"/>
          <w:sz w:val="24"/>
          <w:szCs w:val="28"/>
        </w:rPr>
      </w:pPr>
    </w:p>
    <w:p>
      <w:pPr>
        <w:pStyle w:val="3"/>
        <w:rPr>
          <w:rFonts w:ascii="宋体" w:hAnsi="宋体" w:eastAsia="宋体"/>
        </w:rPr>
      </w:pPr>
      <w:bookmarkStart w:id="49" w:name="_Toc321385722"/>
      <w:bookmarkStart w:id="50" w:name="_Toc21882"/>
      <w:r>
        <w:rPr>
          <w:rFonts w:hint="eastAsia" w:ascii="宋体" w:hAnsi="宋体" w:eastAsia="宋体"/>
        </w:rPr>
        <w:t>21．对谈判响应文件的资格性审查和符合性审查</w:t>
      </w:r>
      <w:bookmarkEnd w:id="49"/>
      <w:bookmarkEnd w:id="5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51" w:name="_Toc321385723"/>
      <w:bookmarkStart w:id="52" w:name="_Toc4818"/>
      <w:r>
        <w:rPr>
          <w:rFonts w:hint="eastAsia" w:ascii="宋体" w:hAnsi="宋体" w:eastAsia="宋体"/>
        </w:rPr>
        <w:t>22. 具体谈判工作流程</w:t>
      </w:r>
      <w:bookmarkEnd w:id="51"/>
      <w:bookmarkEnd w:id="5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53" w:name="_Toc321385724"/>
      <w:bookmarkStart w:id="54" w:name="_Toc32112"/>
      <w:r>
        <w:rPr>
          <w:rFonts w:hint="eastAsia" w:ascii="宋体" w:hAnsi="宋体" w:eastAsia="宋体"/>
        </w:rPr>
        <w:t>23．谈判响应文件的澄清</w:t>
      </w:r>
      <w:bookmarkEnd w:id="53"/>
      <w:bookmarkEnd w:id="5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55" w:name="_Toc321385725"/>
      <w:bookmarkStart w:id="56" w:name="_Toc32085"/>
      <w:r>
        <w:rPr>
          <w:rFonts w:hint="eastAsia" w:ascii="宋体" w:hAnsi="宋体" w:eastAsia="宋体"/>
        </w:rPr>
        <w:t>24．确定成交供应商</w:t>
      </w:r>
      <w:bookmarkEnd w:id="55"/>
      <w:bookmarkEnd w:id="5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4"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57" w:name="_Toc321385726"/>
      <w:bookmarkStart w:id="58" w:name="_Toc1885"/>
      <w:r>
        <w:rPr>
          <w:rFonts w:hint="eastAsia" w:ascii="宋体" w:hAnsi="宋体" w:eastAsia="宋体"/>
        </w:rPr>
        <w:t>25．谈判过程保密</w:t>
      </w:r>
      <w:bookmarkEnd w:id="57"/>
      <w:bookmarkEnd w:id="5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59" w:name="_Toc321385727"/>
      <w:bookmarkStart w:id="60" w:name="_Toc12621"/>
      <w:r>
        <w:rPr>
          <w:rFonts w:hint="eastAsia" w:ascii="宋体" w:hAnsi="宋体" w:eastAsia="宋体"/>
        </w:rPr>
        <w:t>26．谈判供应商不足三家的处理</w:t>
      </w:r>
      <w:bookmarkEnd w:id="59"/>
      <w:bookmarkEnd w:id="60"/>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61" w:name="_Toc321385728"/>
      <w:bookmarkStart w:id="62" w:name="_Toc27600"/>
      <w:r>
        <w:rPr>
          <w:rFonts w:hint="eastAsia" w:ascii="宋体" w:hAnsi="宋体" w:eastAsia="宋体"/>
        </w:rPr>
        <w:t>六  确定成交供应商及签约</w:t>
      </w:r>
      <w:bookmarkEnd w:id="61"/>
      <w:bookmarkEnd w:id="62"/>
    </w:p>
    <w:p>
      <w:pPr>
        <w:pStyle w:val="3"/>
        <w:rPr>
          <w:rFonts w:ascii="宋体" w:hAnsi="宋体" w:eastAsia="宋体"/>
        </w:rPr>
      </w:pPr>
      <w:bookmarkStart w:id="63" w:name="_Toc321385729"/>
      <w:bookmarkStart w:id="64" w:name="_Toc8700"/>
      <w:r>
        <w:rPr>
          <w:rFonts w:hint="eastAsia" w:ascii="宋体" w:hAnsi="宋体" w:eastAsia="宋体"/>
        </w:rPr>
        <w:t>27．确定成交供应商的原则</w:t>
      </w:r>
      <w:bookmarkEnd w:id="63"/>
      <w:bookmarkEnd w:id="6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65" w:name="_Toc321385730"/>
      <w:bookmarkStart w:id="66" w:name="_Toc25165"/>
      <w:r>
        <w:rPr>
          <w:rFonts w:hint="eastAsia" w:ascii="宋体" w:hAnsi="宋体" w:eastAsia="宋体"/>
        </w:rPr>
        <w:t>28. 质疑处理</w:t>
      </w:r>
      <w:bookmarkEnd w:id="65"/>
      <w:bookmarkEnd w:id="66"/>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67" w:name="_Toc321385732"/>
      <w:bookmarkStart w:id="68" w:name="_Toc32014"/>
      <w:r>
        <w:rPr>
          <w:rFonts w:hint="eastAsia" w:ascii="宋体" w:hAnsi="宋体" w:eastAsia="宋体"/>
        </w:rPr>
        <w:t>29．签订合同</w:t>
      </w:r>
      <w:bookmarkEnd w:id="67"/>
      <w:bookmarkEnd w:id="68"/>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3"/>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69" w:name="_Toc279410003"/>
      <w:r>
        <w:rPr>
          <w:rFonts w:hAnsi="宋体"/>
        </w:rPr>
        <w:br w:type="page"/>
      </w:r>
      <w:bookmarkStart w:id="70" w:name="_Toc19738"/>
      <w:bookmarkStart w:id="71" w:name="_Toc14640"/>
      <w:r>
        <w:rPr>
          <w:rFonts w:hint="eastAsia" w:hAnsi="宋体"/>
        </w:rPr>
        <w:t xml:space="preserve">第二章  </w:t>
      </w:r>
      <w:bookmarkStart w:id="72" w:name="_Toc280190841"/>
      <w:bookmarkStart w:id="73" w:name="_Toc296526528"/>
      <w:r>
        <w:rPr>
          <w:rFonts w:hint="eastAsia" w:hAnsi="宋体"/>
        </w:rPr>
        <w:t>采购清单</w:t>
      </w:r>
      <w:bookmarkEnd w:id="70"/>
    </w:p>
    <w:bookmarkEnd w:id="72"/>
    <w:bookmarkEnd w:id="73"/>
    <w:p>
      <w:pPr>
        <w:pStyle w:val="2"/>
        <w:numPr>
          <w:ilvl w:val="0"/>
          <w:numId w:val="2"/>
        </w:numPr>
        <w:spacing w:before="0" w:after="0" w:line="360" w:lineRule="auto"/>
        <w:rPr>
          <w:rFonts w:hAnsi="宋体"/>
          <w:sz w:val="32"/>
          <w:szCs w:val="32"/>
        </w:rPr>
      </w:pPr>
      <w:bookmarkStart w:id="74" w:name="_Toc8637"/>
      <w:r>
        <w:rPr>
          <w:rFonts w:hint="eastAsia" w:hAnsi="宋体"/>
          <w:sz w:val="32"/>
          <w:szCs w:val="32"/>
        </w:rPr>
        <w:t>项目概述</w:t>
      </w:r>
      <w:bookmarkEnd w:id="7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1、监控中心大屏显示系统建设：由</w:t>
      </w:r>
      <w:r>
        <w:rPr>
          <w:rFonts w:hint="eastAsia"/>
          <w:sz w:val="24"/>
          <w:szCs w:val="24"/>
        </w:rPr>
        <w:t>解码拼接部分和大屏显示部分组成</w:t>
      </w:r>
      <w:r>
        <w:rPr>
          <w:rFonts w:hint="eastAsia" w:asciiTheme="minorEastAsia" w:hAnsiTheme="minorEastAsia" w:eastAsiaTheme="minorEastAsia"/>
          <w:sz w:val="24"/>
          <w:szCs w:val="24"/>
        </w:rPr>
        <w:t>，增加9块46寸液晶拼接屏、一套室内单基色LED显示屏以及相应的解码控制设备。监控中心电视墙已建设完成，左右已各安装6台42寸液晶显示器。建成后的</w:t>
      </w:r>
      <w:r>
        <w:rPr>
          <w:rFonts w:hint="eastAsia" w:asciiTheme="minorEastAsia" w:hAnsiTheme="minorEastAsia" w:eastAsiaTheme="minorEastAsia"/>
          <w:sz w:val="24"/>
          <w:szCs w:val="24"/>
          <w:lang w:val="zh-CN"/>
        </w:rPr>
        <w:t>系统将采用先进的高清、智能、</w:t>
      </w:r>
      <w:r>
        <w:rPr>
          <w:rFonts w:asciiTheme="minorEastAsia" w:hAnsiTheme="minorEastAsia" w:eastAsiaTheme="minorEastAsia"/>
          <w:sz w:val="24"/>
          <w:szCs w:val="24"/>
          <w:lang w:val="zh-CN"/>
        </w:rPr>
        <w:t>图像分析等</w:t>
      </w:r>
      <w:r>
        <w:rPr>
          <w:rFonts w:hint="eastAsia" w:asciiTheme="minorEastAsia" w:hAnsiTheme="minorEastAsia" w:eastAsiaTheme="minorEastAsia"/>
          <w:sz w:val="24"/>
          <w:szCs w:val="24"/>
          <w:lang w:val="zh-CN"/>
        </w:rPr>
        <w:t>技术，</w:t>
      </w:r>
      <w:r>
        <w:rPr>
          <w:rFonts w:asciiTheme="minorEastAsia" w:hAnsiTheme="minorEastAsia" w:eastAsiaTheme="minorEastAsia"/>
          <w:sz w:val="24"/>
          <w:szCs w:val="24"/>
          <w:lang w:val="zh-CN"/>
        </w:rPr>
        <w:t>实现</w:t>
      </w:r>
      <w:r>
        <w:rPr>
          <w:rFonts w:hint="eastAsia" w:asciiTheme="minorEastAsia" w:hAnsiTheme="minorEastAsia" w:eastAsiaTheme="minorEastAsia"/>
          <w:sz w:val="24"/>
          <w:szCs w:val="24"/>
          <w:lang w:val="zh-CN"/>
        </w:rPr>
        <w:t>对视频画面的编码、切换、控制、解码、显示、拼接等方面的全面立体式升级，</w:t>
      </w:r>
      <w:r>
        <w:rPr>
          <w:rFonts w:hint="eastAsia" w:asciiTheme="minorEastAsia" w:hAnsiTheme="minorEastAsia" w:eastAsiaTheme="minorEastAsia"/>
          <w:sz w:val="24"/>
          <w:szCs w:val="24"/>
        </w:rPr>
        <w:t>为领导决策、指挥调度、取证提供及时、可靠的监控图像信息；</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lang w:val="zh-CN"/>
        </w:rPr>
        <w:t>2、校园高清监控系统建设：在校园道路上建设高清监控系统，其中在主干道的</w:t>
      </w:r>
      <w:r>
        <w:rPr>
          <w:rFonts w:hint="eastAsia" w:asciiTheme="minorEastAsia" w:hAnsiTheme="minorEastAsia" w:eastAsiaTheme="minorEastAsia"/>
          <w:sz w:val="24"/>
          <w:szCs w:val="24"/>
        </w:rPr>
        <w:t>高清视频监控摄像机不仅可以实现对进出车辆的车牌、车标、车身颜色等结构化数据的抓拍，同时仍能以视频流的形式提供相关数据，能清晰的反映校园车辆行驶的轨迹，破解工作人员面对海量视频查找缓慢的难题。</w:t>
      </w:r>
    </w:p>
    <w:p>
      <w:pPr>
        <w:pStyle w:val="2"/>
        <w:numPr>
          <w:ilvl w:val="0"/>
          <w:numId w:val="2"/>
        </w:numPr>
        <w:spacing w:before="0" w:after="0" w:line="360" w:lineRule="auto"/>
        <w:rPr>
          <w:rFonts w:hAnsi="宋体"/>
          <w:sz w:val="32"/>
          <w:szCs w:val="32"/>
        </w:rPr>
      </w:pPr>
      <w:bookmarkStart w:id="75" w:name="_Toc9328"/>
      <w:r>
        <w:rPr>
          <w:rFonts w:hint="eastAsia" w:hAnsi="宋体"/>
          <w:sz w:val="32"/>
          <w:szCs w:val="32"/>
        </w:rPr>
        <w:t>系统功能要求</w:t>
      </w:r>
      <w:bookmarkEnd w:id="75"/>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（一）大屏显示系统</w:t>
      </w:r>
      <w:bookmarkStart w:id="76" w:name="_Toc413164600"/>
    </w:p>
    <w:p>
      <w:pPr>
        <w:spacing w:line="360" w:lineRule="auto"/>
        <w:ind w:firstLine="425"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（1）多种输入</w:t>
      </w:r>
      <w:r>
        <w:rPr>
          <w:rFonts w:asciiTheme="minorEastAsia" w:hAnsiTheme="minorEastAsia" w:eastAsiaTheme="minorEastAsia"/>
          <w:sz w:val="24"/>
          <w:szCs w:val="24"/>
        </w:rPr>
        <w:t>/</w:t>
      </w:r>
      <w:r>
        <w:rPr>
          <w:rFonts w:hint="eastAsia" w:asciiTheme="minorEastAsia" w:hAnsiTheme="minorEastAsia" w:eastAsiaTheme="minorEastAsia"/>
          <w:sz w:val="24"/>
          <w:szCs w:val="24"/>
        </w:rPr>
        <w:t>输出</w:t>
      </w:r>
      <w:bookmarkEnd w:id="76"/>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支持网络编码视频输入、</w:t>
      </w:r>
      <w:r>
        <w:rPr>
          <w:rFonts w:asciiTheme="minorEastAsia" w:hAnsiTheme="minorEastAsia" w:eastAsiaTheme="minorEastAsia"/>
          <w:sz w:val="24"/>
          <w:szCs w:val="24"/>
        </w:rPr>
        <w:t>VGA</w:t>
      </w:r>
      <w:r>
        <w:rPr>
          <w:rFonts w:hint="eastAsia" w:asciiTheme="minorEastAsia" w:hAnsiTheme="minorEastAsia" w:eastAsiaTheme="minorEastAsia"/>
          <w:sz w:val="24"/>
          <w:szCs w:val="24"/>
        </w:rPr>
        <w:t>信号输入，数字矩阵交换和网络</w:t>
      </w:r>
      <w:r>
        <w:rPr>
          <w:rFonts w:asciiTheme="minorEastAsia" w:hAnsiTheme="minorEastAsia" w:eastAsiaTheme="minorEastAsia"/>
          <w:sz w:val="24"/>
          <w:szCs w:val="24"/>
        </w:rPr>
        <w:t>IP</w:t>
      </w:r>
      <w:r>
        <w:rPr>
          <w:rFonts w:hint="eastAsia" w:asciiTheme="minorEastAsia" w:hAnsiTheme="minorEastAsia" w:eastAsiaTheme="minorEastAsia"/>
          <w:sz w:val="24"/>
          <w:szCs w:val="24"/>
        </w:rPr>
        <w:t>矩阵交换输出。</w:t>
      </w:r>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w:t>
      </w:r>
      <w:r>
        <w:rPr>
          <w:rFonts w:asciiTheme="minorEastAsia" w:hAnsiTheme="minorEastAsia" w:eastAsiaTheme="minorEastAsia"/>
          <w:sz w:val="24"/>
          <w:szCs w:val="24"/>
        </w:rPr>
        <w:t>DVI/HDMI/VGA</w:t>
      </w:r>
      <w:r>
        <w:rPr>
          <w:rFonts w:hint="eastAsia" w:asciiTheme="minorEastAsia" w:hAnsiTheme="minorEastAsia" w:eastAsiaTheme="minorEastAsia"/>
          <w:sz w:val="24"/>
          <w:szCs w:val="24"/>
        </w:rPr>
        <w:t>接口输出，整机最大支持</w:t>
      </w:r>
      <w:r>
        <w:rPr>
          <w:rFonts w:asciiTheme="minorEastAsia" w:hAnsiTheme="minorEastAsia" w:eastAsiaTheme="minorEastAsia"/>
          <w:sz w:val="24"/>
          <w:szCs w:val="24"/>
        </w:rPr>
        <w:t>8路800W，或16路500W，或24路300W，或32路1080P，或64路720P，或100路4CIF及以下分辨率</w:t>
      </w:r>
      <w:r>
        <w:rPr>
          <w:rFonts w:hint="eastAsia" w:asciiTheme="minorEastAsia" w:hAnsiTheme="minorEastAsia" w:eastAsiaTheme="minorEastAsia"/>
          <w:sz w:val="24"/>
          <w:szCs w:val="24"/>
        </w:rPr>
        <w:t>的解码能力。</w:t>
      </w:r>
    </w:p>
    <w:p>
      <w:pPr>
        <w:spacing w:line="360" w:lineRule="auto"/>
        <w:ind w:firstLine="425" w:firstLineChars="177"/>
        <w:rPr>
          <w:rFonts w:asciiTheme="minorEastAsia" w:hAnsiTheme="minorEastAsia" w:eastAsiaTheme="minorEastAsia"/>
          <w:sz w:val="24"/>
          <w:szCs w:val="24"/>
        </w:rPr>
      </w:pPr>
      <w:bookmarkStart w:id="77" w:name="_Toc413164601"/>
      <w:r>
        <w:rPr>
          <w:rFonts w:hint="eastAsia" w:asciiTheme="minorEastAsia" w:hAnsiTheme="minorEastAsia" w:eastAsiaTheme="minorEastAsia"/>
          <w:sz w:val="24"/>
          <w:szCs w:val="24"/>
        </w:rPr>
        <w:t>（2）解码上墙</w:t>
      </w:r>
      <w:bookmarkEnd w:id="77"/>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支持实时视频解码上墙，用户可以用鼠标直接拖拽树形资源上的监控点到解码窗口中，完成该监控点实时视频的解码上墙处理。</w:t>
      </w:r>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支持历史录像回放视频解码上墙，用户可查询前端设备或中心存储录像，并将播放的录像视频直接拖拽到解码窗口中，立刻进行该监控点当前回放视频的解码上墙功能。</w:t>
      </w:r>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支持动态解码上墙云台控制功能，在监控点实时视频进行解码上墙时，用户对解码窗口进行选中后，点击云台控制操作盘进行云台控制操作。</w:t>
      </w:r>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支持多画面分割，解码窗口支持多画面分割，能够支持</w:t>
      </w: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9</w:t>
      </w:r>
      <w:r>
        <w:rPr>
          <w:rFonts w:hint="eastAsia" w:asciiTheme="minorEastAsia" w:hAnsiTheme="minorEastAsia" w:eastAsiaTheme="minorEastAsia"/>
          <w:sz w:val="24"/>
          <w:szCs w:val="24"/>
        </w:rPr>
        <w:t>、</w:t>
      </w:r>
      <w:r>
        <w:rPr>
          <w:rFonts w:asciiTheme="minorEastAsia" w:hAnsiTheme="minorEastAsia" w:eastAsiaTheme="minorEastAsia"/>
          <w:sz w:val="24"/>
          <w:szCs w:val="24"/>
        </w:rPr>
        <w:t>16</w:t>
      </w:r>
      <w:r>
        <w:rPr>
          <w:rFonts w:hint="eastAsia" w:asciiTheme="minorEastAsia" w:hAnsiTheme="minorEastAsia" w:eastAsiaTheme="minorEastAsia"/>
          <w:sz w:val="24"/>
          <w:szCs w:val="24"/>
        </w:rPr>
        <w:t>等多种分割模式。</w:t>
      </w:r>
    </w:p>
    <w:p>
      <w:pPr>
        <w:spacing w:line="360" w:lineRule="auto"/>
        <w:ind w:firstLine="425" w:firstLineChars="177"/>
        <w:rPr>
          <w:rFonts w:asciiTheme="minorEastAsia" w:hAnsiTheme="minorEastAsia" w:eastAsiaTheme="minorEastAsia"/>
          <w:sz w:val="24"/>
          <w:szCs w:val="24"/>
        </w:rPr>
      </w:pPr>
      <w:bookmarkStart w:id="78" w:name="_Toc413164602"/>
      <w:r>
        <w:rPr>
          <w:rFonts w:hint="eastAsia" w:asciiTheme="minorEastAsia" w:hAnsiTheme="minorEastAsia" w:eastAsiaTheme="minorEastAsia"/>
          <w:sz w:val="24"/>
          <w:szCs w:val="24"/>
        </w:rPr>
        <w:t>（3）拼控管理</w:t>
      </w:r>
      <w:bookmarkEnd w:id="78"/>
    </w:p>
    <w:p>
      <w:pPr>
        <w:pStyle w:val="7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大屏拼接功能（最大16块屏幕的任意拼接），系统支持模数混合矩阵接入，能够实现模数混合矩阵解码板大屏拼控功能，通过鼠标框选的方式，快速的将多个独立的解码窗口拼接成一个大屏，适用于高清画面等需要重点监控的视频，支持开窗、窗口漫游功能。</w:t>
      </w:r>
      <w:r>
        <w:rPr>
          <w:rFonts w:asciiTheme="minorEastAsia" w:hAnsiTheme="minorEastAsia" w:eastAsiaTheme="minorEastAsia"/>
          <w:sz w:val="24"/>
          <w:szCs w:val="24"/>
        </w:rPr>
        <w:t xml:space="preserve"> </w:t>
      </w:r>
    </w:p>
    <w:p>
      <w:pPr>
        <w:spacing w:line="360" w:lineRule="auto"/>
        <w:ind w:firstLine="425" w:firstLineChars="177"/>
        <w:rPr>
          <w:rFonts w:asciiTheme="minorEastAsia" w:hAnsiTheme="minorEastAsia" w:eastAsiaTheme="minorEastAsia"/>
          <w:sz w:val="24"/>
          <w:szCs w:val="24"/>
        </w:rPr>
      </w:pPr>
      <w:bookmarkStart w:id="79" w:name="_Toc413164603"/>
      <w:r>
        <w:rPr>
          <w:rFonts w:hint="eastAsia" w:asciiTheme="minorEastAsia" w:hAnsiTheme="minorEastAsia" w:eastAsiaTheme="minorEastAsia"/>
          <w:sz w:val="24"/>
          <w:szCs w:val="24"/>
        </w:rPr>
        <w:t>（4）报警上墙</w:t>
      </w:r>
      <w:bookmarkEnd w:id="79"/>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支持单屏报警上墙，用户可以在独立的监视屏或拼接大屏中进行报警上大屏配置，当计划内的报警产生时能够在配置的大屏中进行报警上墙功能，整个配置可按监视屏配置多个报警，各个监视屏可独立配置。</w:t>
      </w:r>
    </w:p>
    <w:p>
      <w:pPr>
        <w:pStyle w:val="77"/>
        <w:numPr>
          <w:ilvl w:val="0"/>
          <w:numId w:val="3"/>
        </w:numPr>
        <w:spacing w:line="360" w:lineRule="auto"/>
        <w:ind w:left="0" w:firstLine="48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支持报警场景切换，用户可以单独配置一个报警场景，当该报警场景上配置的报警触发时，电视墙自动切换到报警场景中，并进行相应的视频解码上墙显示。</w:t>
      </w:r>
    </w:p>
    <w:p>
      <w:pPr>
        <w:spacing w:line="360" w:lineRule="auto"/>
        <w:ind w:firstLine="425" w:firstLineChars="177"/>
        <w:rPr>
          <w:rFonts w:asciiTheme="minorEastAsia" w:hAnsiTheme="minorEastAsia" w:eastAsiaTheme="minorEastAsia"/>
          <w:sz w:val="24"/>
          <w:szCs w:val="24"/>
        </w:rPr>
      </w:pPr>
      <w:bookmarkStart w:id="80" w:name="_Toc413164604"/>
      <w:r>
        <w:rPr>
          <w:rFonts w:hint="eastAsia" w:asciiTheme="minorEastAsia" w:hAnsiTheme="minorEastAsia" w:eastAsiaTheme="minorEastAsia"/>
          <w:sz w:val="24"/>
          <w:szCs w:val="24"/>
        </w:rPr>
        <w:t>（5）超高分辨率显示功能</w:t>
      </w:r>
      <w:bookmarkEnd w:id="80"/>
    </w:p>
    <w:p>
      <w:pPr>
        <w:pStyle w:val="77"/>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w:t>
      </w:r>
      <w:r>
        <w:rPr>
          <w:rFonts w:asciiTheme="minorEastAsia" w:hAnsiTheme="minorEastAsia" w:eastAsiaTheme="minorEastAsia"/>
          <w:sz w:val="24"/>
          <w:szCs w:val="24"/>
        </w:rPr>
        <w:t>PGIS</w:t>
      </w:r>
      <w:r>
        <w:rPr>
          <w:rFonts w:hint="eastAsia" w:asciiTheme="minorEastAsia" w:hAnsiTheme="minorEastAsia" w:eastAsiaTheme="minorEastAsia"/>
          <w:sz w:val="24"/>
          <w:szCs w:val="24"/>
        </w:rPr>
        <w:t>、</w:t>
      </w:r>
      <w:r>
        <w:rPr>
          <w:rFonts w:asciiTheme="minorEastAsia" w:hAnsiTheme="minorEastAsia" w:eastAsiaTheme="minorEastAsia"/>
          <w:sz w:val="24"/>
          <w:szCs w:val="24"/>
        </w:rPr>
        <w:t>GIS</w:t>
      </w:r>
      <w:r>
        <w:rPr>
          <w:rFonts w:hint="eastAsia" w:asciiTheme="minorEastAsia" w:hAnsiTheme="minorEastAsia" w:eastAsiaTheme="minorEastAsia"/>
          <w:sz w:val="24"/>
          <w:szCs w:val="24"/>
        </w:rPr>
        <w:t>、</w:t>
      </w:r>
      <w:r>
        <w:rPr>
          <w:rFonts w:asciiTheme="minorEastAsia" w:hAnsiTheme="minorEastAsia" w:eastAsiaTheme="minorEastAsia"/>
          <w:sz w:val="24"/>
          <w:szCs w:val="24"/>
        </w:rPr>
        <w:t>CAD</w:t>
      </w:r>
      <w:r>
        <w:rPr>
          <w:rFonts w:hint="eastAsia" w:asciiTheme="minorEastAsia" w:hAnsiTheme="minorEastAsia" w:eastAsiaTheme="minorEastAsia"/>
          <w:sz w:val="24"/>
          <w:szCs w:val="24"/>
        </w:rPr>
        <w:t>等高分辨率矢量图类的地图及图片实现高分辨率上墙显示；支持至少一亿分辨率像素的图像实现上墙显示，地图、软件提供至少每秒</w:t>
      </w:r>
      <w:r>
        <w:rPr>
          <w:rFonts w:asciiTheme="minorEastAsia" w:hAnsiTheme="minorEastAsia" w:eastAsiaTheme="minorEastAsia"/>
          <w:sz w:val="24"/>
          <w:szCs w:val="24"/>
        </w:rPr>
        <w:t>10</w:t>
      </w:r>
      <w:r>
        <w:rPr>
          <w:rFonts w:hint="eastAsia" w:asciiTheme="minorEastAsia" w:hAnsiTheme="minorEastAsia" w:eastAsiaTheme="minorEastAsia"/>
          <w:sz w:val="24"/>
          <w:szCs w:val="24"/>
        </w:rPr>
        <w:t>帧的显示效果，视频提供至少</w:t>
      </w:r>
      <w:r>
        <w:rPr>
          <w:rFonts w:asciiTheme="minorEastAsia" w:hAnsiTheme="minorEastAsia" w:eastAsiaTheme="minorEastAsia"/>
          <w:sz w:val="24"/>
          <w:szCs w:val="24"/>
        </w:rPr>
        <w:t>25</w:t>
      </w:r>
      <w:r>
        <w:rPr>
          <w:rFonts w:hint="eastAsia" w:asciiTheme="minorEastAsia" w:hAnsiTheme="minorEastAsia" w:eastAsiaTheme="minorEastAsia"/>
          <w:sz w:val="24"/>
          <w:szCs w:val="24"/>
        </w:rPr>
        <w:t>帧显示效果。</w:t>
      </w:r>
    </w:p>
    <w:p>
      <w:pPr>
        <w:spacing w:line="360" w:lineRule="auto"/>
        <w:ind w:firstLine="480"/>
        <w:rPr>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（二）校园高清监控系统</w:t>
      </w:r>
    </w:p>
    <w:p>
      <w:pPr>
        <w:pStyle w:val="78"/>
        <w:numPr>
          <w:ilvl w:val="0"/>
          <w:numId w:val="4"/>
        </w:numPr>
        <w:spacing w:line="360" w:lineRule="auto"/>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普通高清监控系统</w:t>
      </w:r>
    </w:p>
    <w:p>
      <w:pPr>
        <w:pStyle w:val="6"/>
        <w:numPr>
          <w:ilvl w:val="0"/>
          <w:numId w:val="5"/>
        </w:numPr>
        <w:spacing w:line="360" w:lineRule="auto"/>
        <w:ind w:left="0" w:firstLine="568" w:firstLineChars="0"/>
        <w:rPr>
          <w:rFonts w:hAnsi="宋体"/>
          <w:bCs/>
          <w:sz w:val="24"/>
          <w:szCs w:val="24"/>
        </w:rPr>
      </w:pPr>
      <w:r>
        <w:rPr>
          <w:rFonts w:hAnsi="宋体"/>
          <w:bCs/>
          <w:sz w:val="24"/>
          <w:szCs w:val="24"/>
        </w:rPr>
        <w:t>监视功能：采用高品质摄像机，获得监视范围内清晰的视频图像</w:t>
      </w:r>
      <w:r>
        <w:rPr>
          <w:rFonts w:hint="eastAsia" w:hAnsi="宋体"/>
          <w:bCs/>
          <w:sz w:val="24"/>
          <w:szCs w:val="24"/>
        </w:rPr>
        <w:t>，</w:t>
      </w:r>
      <w:r>
        <w:rPr>
          <w:rFonts w:hAnsi="宋体"/>
          <w:bCs/>
          <w:sz w:val="24"/>
          <w:szCs w:val="24"/>
        </w:rPr>
        <w:t>实现24小时监控；</w:t>
      </w:r>
    </w:p>
    <w:p>
      <w:pPr>
        <w:pStyle w:val="6"/>
        <w:numPr>
          <w:ilvl w:val="0"/>
          <w:numId w:val="5"/>
        </w:numPr>
        <w:spacing w:line="360" w:lineRule="auto"/>
        <w:ind w:left="0" w:firstLine="568" w:firstLineChars="0"/>
        <w:rPr>
          <w:rFonts w:hAnsi="宋体"/>
          <w:bCs/>
          <w:sz w:val="24"/>
          <w:szCs w:val="24"/>
        </w:rPr>
      </w:pPr>
      <w:r>
        <w:rPr>
          <w:rFonts w:hint="eastAsia" w:hAnsi="宋体"/>
          <w:bCs/>
          <w:sz w:val="24"/>
          <w:szCs w:val="24"/>
        </w:rPr>
        <w:t>集中存储</w:t>
      </w:r>
      <w:r>
        <w:rPr>
          <w:rFonts w:hAnsi="宋体"/>
          <w:bCs/>
          <w:sz w:val="24"/>
          <w:szCs w:val="24"/>
        </w:rPr>
        <w:t>功能</w:t>
      </w:r>
      <w:r>
        <w:rPr>
          <w:rFonts w:hint="eastAsia" w:hAnsi="宋体"/>
          <w:bCs/>
          <w:sz w:val="24"/>
          <w:szCs w:val="24"/>
        </w:rPr>
        <w:t>：</w:t>
      </w:r>
      <w:r>
        <w:rPr>
          <w:rFonts w:hAnsi="宋体"/>
          <w:bCs/>
          <w:sz w:val="24"/>
          <w:szCs w:val="24"/>
        </w:rPr>
        <w:t>前端摄像的视频信号接</w:t>
      </w:r>
      <w:r>
        <w:rPr>
          <w:rFonts w:hint="eastAsia" w:hAnsi="宋体"/>
          <w:bCs/>
          <w:sz w:val="24"/>
          <w:szCs w:val="24"/>
        </w:rPr>
        <w:t>入现有的CVR存储服务器中</w:t>
      </w:r>
      <w:r>
        <w:rPr>
          <w:rFonts w:hAnsi="宋体"/>
          <w:bCs/>
          <w:sz w:val="24"/>
          <w:szCs w:val="24"/>
        </w:rPr>
        <w:t>，录像保存时间达到</w:t>
      </w:r>
      <w:r>
        <w:rPr>
          <w:rFonts w:hint="eastAsia" w:hAnsi="宋体"/>
          <w:bCs/>
          <w:sz w:val="24"/>
          <w:szCs w:val="24"/>
        </w:rPr>
        <w:t>30</w:t>
      </w:r>
      <w:r>
        <w:rPr>
          <w:rFonts w:hAnsi="宋体"/>
          <w:bCs/>
          <w:sz w:val="24"/>
          <w:szCs w:val="24"/>
        </w:rPr>
        <w:t>天以上，</w:t>
      </w:r>
      <w:r>
        <w:rPr>
          <w:rFonts w:hint="eastAsia" w:hAnsi="宋体"/>
          <w:bCs/>
          <w:sz w:val="24"/>
          <w:szCs w:val="24"/>
        </w:rPr>
        <w:t>以供事后调查取证</w:t>
      </w:r>
      <w:r>
        <w:rPr>
          <w:rFonts w:hAnsi="宋体"/>
          <w:bCs/>
          <w:sz w:val="24"/>
          <w:szCs w:val="24"/>
        </w:rPr>
        <w:t>；</w:t>
      </w:r>
    </w:p>
    <w:p>
      <w:pPr>
        <w:pStyle w:val="6"/>
        <w:numPr>
          <w:ilvl w:val="0"/>
          <w:numId w:val="5"/>
        </w:numPr>
        <w:spacing w:line="360" w:lineRule="auto"/>
        <w:ind w:left="0" w:firstLine="568" w:firstLineChars="0"/>
        <w:rPr>
          <w:rFonts w:hAnsi="宋体"/>
          <w:bCs/>
          <w:sz w:val="24"/>
          <w:szCs w:val="24"/>
        </w:rPr>
      </w:pPr>
      <w:r>
        <w:rPr>
          <w:rFonts w:hAnsi="宋体"/>
          <w:bCs/>
          <w:sz w:val="24"/>
          <w:szCs w:val="24"/>
        </w:rPr>
        <w:t>管理功能：管理人员或授权访问人员，能通过访问系统，实时预览监控画面、回放历史监控图像、下载监控资料</w:t>
      </w:r>
      <w:r>
        <w:rPr>
          <w:rFonts w:hint="eastAsia" w:hAnsi="宋体"/>
          <w:bCs/>
          <w:sz w:val="24"/>
          <w:szCs w:val="24"/>
        </w:rPr>
        <w:t>、查看维修记录</w:t>
      </w:r>
      <w:r>
        <w:rPr>
          <w:rFonts w:hAnsi="宋体"/>
          <w:bCs/>
          <w:sz w:val="24"/>
          <w:szCs w:val="24"/>
        </w:rPr>
        <w:t>等；</w:t>
      </w:r>
    </w:p>
    <w:p>
      <w:pPr>
        <w:pStyle w:val="78"/>
        <w:numPr>
          <w:ilvl w:val="0"/>
          <w:numId w:val="4"/>
        </w:numPr>
        <w:spacing w:line="360" w:lineRule="auto"/>
        <w:ind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车辆抓拍高清监控系统</w:t>
      </w:r>
    </w:p>
    <w:p>
      <w:pPr>
        <w:pStyle w:val="6"/>
        <w:numPr>
          <w:ilvl w:val="0"/>
          <w:numId w:val="6"/>
        </w:numPr>
        <w:spacing w:line="360" w:lineRule="auto"/>
        <w:ind w:firstLineChars="0"/>
        <w:rPr>
          <w:rFonts w:hAnsi="宋体"/>
          <w:bCs/>
          <w:sz w:val="24"/>
          <w:szCs w:val="24"/>
        </w:rPr>
      </w:pPr>
      <w:r>
        <w:rPr>
          <w:rFonts w:hint="eastAsia" w:hAnsi="宋体"/>
          <w:bCs/>
          <w:sz w:val="24"/>
          <w:szCs w:val="24"/>
        </w:rPr>
        <w:t>实时监控</w:t>
      </w:r>
    </w:p>
    <w:p>
      <w:pPr>
        <w:spacing w:line="360" w:lineRule="auto"/>
        <w:ind w:firstLine="480"/>
        <w:rPr>
          <w:sz w:val="24"/>
          <w:szCs w:val="24"/>
        </w:rPr>
      </w:pPr>
      <w:r>
        <w:rPr>
          <w:rFonts w:hint="eastAsia"/>
          <w:sz w:val="24"/>
          <w:szCs w:val="24"/>
        </w:rPr>
        <w:t>实时监控功能，即通过综合管控平台实现前端高清视频监控码流的接入，并在监控界面上实时显示，包括监控点位输出的实时视频、抓拍的图片等等。系统根据监控前端点位的名称、车道编号对点位进行分类，并显示用户选择的监控通道画面以及与点位关联的车辆通行信息。</w:t>
      </w:r>
    </w:p>
    <w:p>
      <w:pPr>
        <w:pStyle w:val="6"/>
        <w:numPr>
          <w:ilvl w:val="0"/>
          <w:numId w:val="6"/>
        </w:numPr>
        <w:spacing w:line="360" w:lineRule="auto"/>
        <w:ind w:firstLineChars="0"/>
        <w:rPr>
          <w:rFonts w:hAnsi="宋体"/>
          <w:bCs/>
          <w:sz w:val="24"/>
          <w:szCs w:val="24"/>
        </w:rPr>
      </w:pPr>
      <w:r>
        <w:rPr>
          <w:rFonts w:hint="eastAsia" w:hAnsi="宋体"/>
          <w:bCs/>
          <w:sz w:val="24"/>
          <w:szCs w:val="24"/>
        </w:rPr>
        <w:t>车辆查询</w:t>
      </w:r>
    </w:p>
    <w:p>
      <w:pPr>
        <w:spacing w:line="360" w:lineRule="auto"/>
        <w:ind w:firstLine="480"/>
        <w:rPr>
          <w:sz w:val="24"/>
          <w:szCs w:val="24"/>
        </w:rPr>
      </w:pPr>
      <w:r>
        <w:rPr>
          <w:rFonts w:hint="eastAsia"/>
          <w:sz w:val="24"/>
          <w:szCs w:val="24"/>
        </w:rPr>
        <w:t>用户可以通过车辆查询功能，对系统所涉及地域，在可记录的时间范围内，查询经过各个点位的车辆信息。能够查询到的车辆信息包括：车型、车身颜色等。</w:t>
      </w:r>
    </w:p>
    <w:p>
      <w:pPr>
        <w:pStyle w:val="6"/>
        <w:numPr>
          <w:ilvl w:val="0"/>
          <w:numId w:val="6"/>
        </w:numPr>
        <w:spacing w:line="360" w:lineRule="auto"/>
        <w:ind w:firstLineChars="0"/>
        <w:rPr>
          <w:rFonts w:hAnsi="宋体"/>
          <w:bCs/>
          <w:sz w:val="24"/>
          <w:szCs w:val="24"/>
        </w:rPr>
      </w:pPr>
      <w:r>
        <w:rPr>
          <w:rFonts w:hint="eastAsia" w:hAnsi="宋体"/>
          <w:bCs/>
          <w:sz w:val="24"/>
          <w:szCs w:val="24"/>
        </w:rPr>
        <w:t>图标报表显示</w:t>
      </w:r>
    </w:p>
    <w:p>
      <w:pPr>
        <w:pStyle w:val="79"/>
        <w:spacing w:line="360" w:lineRule="auto"/>
        <w:ind w:firstLine="420"/>
        <w:rPr>
          <w:sz w:val="24"/>
          <w:szCs w:val="24"/>
        </w:rPr>
      </w:pPr>
      <w:r>
        <w:rPr>
          <w:rFonts w:hint="eastAsia"/>
          <w:sz w:val="24"/>
          <w:szCs w:val="24"/>
        </w:rPr>
        <w:t>车辆的过车信息，超速信息等数据，将会由平台统计并输出报表，以图表的形式直观的展现出来，供学校对车辆轨迹进行参考分析。</w:t>
      </w:r>
    </w:p>
    <w:p>
      <w:pPr>
        <w:pStyle w:val="79"/>
      </w:pPr>
    </w:p>
    <w:p>
      <w:pPr>
        <w:pStyle w:val="2"/>
        <w:numPr>
          <w:ilvl w:val="0"/>
          <w:numId w:val="2"/>
        </w:numPr>
        <w:spacing w:before="0" w:after="0" w:line="360" w:lineRule="auto"/>
        <w:rPr>
          <w:rFonts w:hAnsi="宋体"/>
          <w:sz w:val="32"/>
          <w:szCs w:val="32"/>
        </w:rPr>
      </w:pPr>
      <w:bookmarkStart w:id="81" w:name="_Toc28084"/>
      <w:r>
        <w:rPr>
          <w:rFonts w:hint="eastAsia" w:hAnsi="宋体"/>
          <w:sz w:val="32"/>
          <w:szCs w:val="32"/>
        </w:rPr>
        <w:t>主要设备技术参数</w:t>
      </w:r>
      <w:bookmarkEnd w:id="81"/>
    </w:p>
    <w:p>
      <w:pPr>
        <w:tabs>
          <w:tab w:val="left" w:pos="360"/>
        </w:tabs>
        <w:spacing w:line="360" w:lineRule="auto"/>
        <w:rPr>
          <w:rFonts w:hAnsi="宋体"/>
          <w:b/>
          <w:sz w:val="24"/>
          <w:szCs w:val="24"/>
        </w:rPr>
      </w:pPr>
      <w:r>
        <w:rPr>
          <w:rFonts w:hint="eastAsia" w:hAnsi="宋体"/>
          <w:b/>
          <w:sz w:val="24"/>
          <w:szCs w:val="24"/>
        </w:rPr>
        <w:t>1、拼接屏显示单元</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★LCD显示单元需提供CB、 CE、FCC、 RoHS检测报告。</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★LCD显示单元需提供国家知识产权局颁发的拼接显示单元外观设计专利证书、中国质量认证中心所出具的中国环保产品（II型）认证证书。</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LCD显示单元为：46“超窄边液晶屏；亮度达到512cd/㎡，对比度达到6000:1；物理拼缝≤5.3mm。输入接口：VGAX1，DVIX1，BNCX1，YPbPrX1,HDMIX1;输出接口：VGAX1，DVIX1，BNCX2。</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LCD拼接显示系统应支持多屏图像拼接，画面可整屏显示，也可分屏显示、跨屏、漫游显示，全屏范围内显示无非线性失真效果，整个屏幕亮度均匀，无暗角或亮角等现象，画面稳定无闪烁。</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LCD显示单元采用超宽视角液晶屏，视角可达178°，画面的输出精确和稳定，色彩饱和靓丽，屏幕更加明亮，画质更加清晰，画面衔接流畅自然，整体显示流畅完美，呈现完美的显示效果。</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采用专业FPGA图像处理芯片，支持7个等级的去雾强度设置，用户可根据不同场景选择不同等级；采用自动去雾等级设置功能，设备可以根据当前场景自动匹配选择去雾参数设置；支持支持3个夜景模式选择，使光线较暗场景的图像亮度得到改善。</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★LCD显示单元可内嵌网络解码模块，支持IPC、DVR、NVR的监控视频流接入并解码显示，支持8路1080P网络解码。提供具有CNAS资质认证标识的检测机构出具的证明。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LCD显示单元需提供IP6X防尘等级和抗震八级检测报告。</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LCD显示单元支持智能开机延时，可设置延时开机时间，显示单元根据自己的ID按照预定规则，顺序启动，减小瞬间脉冲电流，增强系统稳定性。</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定时开关机，为了满足特定用户非7x24小时使用LCD显示大屏的特定需求，可自定义按周绘制开关机时间段，或手动输入开关机时间点两种定时设置方式；软关机记忆，大屏显示单元在断电前处于待机状态，下一次上电后，仍然处于待机状态，方便控制平台集中控制。</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全接口环通，支持BNC、VGA、DVI、SDI等接口的环通，支持选配DP（4K）接口，支持BNC、VGA、DVI、HDMI、SDI、DP（4K）六种信的环通显示；内置拼接处理引擎，配合环通接口，无需外设拼接控制器可实现无限拼接显示，满足小型或者基本功能的拼接需求，使成本投入最小化。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LCD显示单元支持将实时画面的一帧定格持续显示，满足用户特定情况下的细节观察，静止查看。</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★LCD可选配显示单元通过光控模块，实现根据环境光线强弱自动调整大屏显示亮度，使显示效果保持在最优状态，同时实现节约能源。提供具有CNAS资质认证标识的检测机构出具的证明。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3D降噪和空间降噪相结合，实现保证帧内图像平滑，运动图像前后帧之间图像平滑，有效降低噪声对图像质量的影响；3D梳状滤波消除动态视频图像的边缘锯齿，图像更加清晰、细腻，大幅提高动态视频的画质，图像画面真实流畅。</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LCD显示单元可将输入的非50Hz/60Hz的图像转换成60Hz输出，彻底解决由于低帧率造成的画面卡顿感，使图像显示相比低帧率的图像更平滑顺畅。提供具有CNAS资质认证标识的检测机构出具的证明。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通过遥控器操作可直接显示LCD显示单元ID，信源类型，分辨率，系统运行时间，软件版本，温度等信息；自动检测IP冲突和断网检测，并在大屏显示提示信息；提示并显示风扇工作状态异常报警，温度异常报警。</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★LCD显示单元支持U盘点播，内置MPEG、JPEG和RealMedia解码器，方便用户播放视频文件。提供具有CNAS资质认证标识的检测机构出具的证明。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LCD显示单元为了使非标准分辨率的视频也可以全屏完美的显示，支持边缘屏蔽功能.</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采用双CPU+多个协处理器核的构架;双CPU负责通讯、色彩调整及模块控制等控制功能；3个DSP核+1个FPGA核负责图像数据的处理，分工明确保证系统稳定性和实时性，使图像处理更加游刃有余；提供具有CNAS资质认证标识的检测机构出具的证明。</w:t>
      </w:r>
    </w:p>
    <w:p>
      <w:pPr>
        <w:widowControl/>
        <w:spacing w:line="360" w:lineRule="auto"/>
        <w:ind w:firstLine="480" w:firstLineChars="200"/>
        <w:rPr>
          <w:rFonts w:cs="宋体"/>
          <w:color w:val="000000"/>
          <w:sz w:val="24"/>
          <w:szCs w:val="24"/>
          <w:lang w:val="zh-CN"/>
        </w:rPr>
      </w:pPr>
      <w:r>
        <w:rPr>
          <w:rFonts w:hint="eastAsia" w:cs="宋体"/>
          <w:color w:val="000000"/>
          <w:sz w:val="24"/>
          <w:szCs w:val="24"/>
          <w:lang w:val="zh-CN"/>
        </w:rPr>
        <w:t>★LCD显示单元支持HDTVI同轴高清信号，带1入1出环通接口。提供具有CNAS资质认证标识的检测机构出具的证明。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LCD显示单元支持智能温度控制，可选择智能模式或全速模式；智能模式由设备自动控制风扇，根据设备运行温度来控制风扇的启停及转速；全速模式下风扇全速运转为设备散热。</w:t>
      </w:r>
    </w:p>
    <w:p>
      <w:pPr>
        <w:spacing w:line="360" w:lineRule="auto"/>
        <w:rPr>
          <w:sz w:val="24"/>
          <w:szCs w:val="24"/>
        </w:rPr>
      </w:pPr>
    </w:p>
    <w:p>
      <w:pPr>
        <w:tabs>
          <w:tab w:val="left" w:pos="360"/>
        </w:tabs>
        <w:spacing w:line="360" w:lineRule="auto"/>
        <w:rPr>
          <w:rFonts w:hAnsi="宋体"/>
          <w:b/>
          <w:sz w:val="24"/>
          <w:szCs w:val="24"/>
        </w:rPr>
      </w:pPr>
      <w:r>
        <w:rPr>
          <w:rFonts w:hint="eastAsia" w:hAnsi="宋体"/>
          <w:b/>
          <w:sz w:val="24"/>
          <w:szCs w:val="24"/>
        </w:rPr>
        <w:t>2、10路高清解码器</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采用嵌入式架构，专用Linux系统，使用DSP解码。为了设备稳定可靠运行，不得采用工控机或者PC机的X86架构</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要求设备具备，20个RJ45网络接口，1路对讲输入，1路对讲输出，1个RS232接口，8路报警输入，8路报警输出，1个VGA输入接口，1个DVI输入接口。输出口支持10个HDMI接口，支持10路模拟音频输出，支持5路模拟视频输出。提供具有CNAS资质认证标识的检测机构出具的型式检验证明 </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★设备支持外接电脑桌面解码输出。提供公安部出具的型式检验证明。</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★设备支持客户端软件导入和导出参数配置功能。提供公安部出具的型式检验证明。</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★设备可以设置1024×768、1280×1024、1280×720、1920×1080、1600×1200、3840x2160等的视频图像分辨率通过HDMI输出显示。提供公安部出具的型式检验证明。</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设备支持按1/4/9/16画面进行分割，也支持1路输入视频发送到多个输出接口拼接显示，支持1x10到10X1的任意拼接显示</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设备支持视频图像轮巡输出显示。</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设备支持客户端或IE浏览器控制，可将客户端当前回放的录像同步解码后输出显示。 设备支持远程维护和设置网络参数、视频参数等。</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要求设备支持ONVIF、RTSP、H264、H265等协议。提供公安部出具的型式检验证明。</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设备支持软件客户端对云台进行控制、设备客户端具有可以重启设备，进行恢复出厂设置功能。设备客户端支持添加、删除、修改用户功能、 </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★设备支持NTP校时和客户端手动校时等功能。提供公安部出具的型式检验证明。</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★设备通过高温、低温检测（高温55±2℃，低温-10±3℃，湿度93%，持续时间2H；振动测试；冲击测试；绝缘电阻测试；泄露电阻测试；泄露电流测试等)。提供公安部出具的型式检验证明。 </w:t>
      </w:r>
    </w:p>
    <w:p>
      <w:pPr>
        <w:tabs>
          <w:tab w:val="left" w:pos="360"/>
        </w:tabs>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要求设备支持4000x3000下分辨率的解码输出：可同时输出80路分辨率为1920×1080（H.264/H.265），或50路分辨率为2048×1536（H.264/H.265），或30路分辨率为2592×1944（H.264/H.265），或20路分辨率为3840×2160(H.265），或20路分辨率为4096×2160(H.264）,或10路分辨率为4000×3000的视频图像(H.264）。提供公安部出具的型式检验证明。</w:t>
      </w:r>
    </w:p>
    <w:p>
      <w:pPr>
        <w:widowControl/>
        <w:spacing w:line="360" w:lineRule="auto"/>
        <w:ind w:firstLine="480" w:firstLineChars="200"/>
        <w:rPr>
          <w:rFonts w:cs="宋体"/>
          <w:color w:val="000000"/>
          <w:sz w:val="24"/>
          <w:szCs w:val="24"/>
          <w:lang w:val="zh-CN"/>
        </w:rPr>
      </w:pPr>
    </w:p>
    <w:p>
      <w:pPr>
        <w:tabs>
          <w:tab w:val="left" w:pos="360"/>
        </w:tabs>
        <w:spacing w:line="360" w:lineRule="auto"/>
        <w:rPr>
          <w:rFonts w:hAnsi="宋体"/>
          <w:b/>
          <w:sz w:val="24"/>
          <w:szCs w:val="24"/>
        </w:rPr>
      </w:pPr>
      <w:r>
        <w:rPr>
          <w:rFonts w:hint="eastAsia" w:hAnsi="宋体"/>
          <w:b/>
          <w:sz w:val="24"/>
          <w:szCs w:val="24"/>
        </w:rPr>
        <w:t>3、高清网络红外枪机</w:t>
      </w:r>
    </w:p>
    <w:p>
      <w:pPr>
        <w:spacing w:line="360" w:lineRule="auto"/>
        <w:ind w:firstLine="480" w:firstLineChars="200"/>
        <w:rPr>
          <w:rFonts w:hAnsi="宋体" w:cs="宋体"/>
          <w:color w:val="000000"/>
          <w:sz w:val="24"/>
          <w:szCs w:val="24"/>
        </w:rPr>
      </w:pPr>
      <w:r>
        <w:rPr>
          <w:rFonts w:hint="eastAsia" w:hAnsi="宋体" w:cs="宋体"/>
          <w:color w:val="000000"/>
          <w:sz w:val="24"/>
          <w:szCs w:val="24"/>
        </w:rPr>
        <w:t>具有200万像素CMOS传感器；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需具有20路取流路数能力，以满足更多用户同时在线访问摄像机视频  </w:t>
      </w:r>
    </w:p>
    <w:p>
      <w:pPr>
        <w:spacing w:line="360" w:lineRule="auto"/>
        <w:ind w:firstLine="480" w:firstLineChars="200"/>
        <w:rPr>
          <w:rFonts w:hAnsi="宋体" w:cs="宋体"/>
          <w:color w:val="000000"/>
          <w:sz w:val="24"/>
          <w:szCs w:val="24"/>
        </w:rPr>
      </w:pPr>
      <w:r>
        <w:rPr>
          <w:rFonts w:hint="eastAsia" w:hAnsi="宋体" w:cs="宋体"/>
          <w:color w:val="000000"/>
          <w:sz w:val="24"/>
          <w:szCs w:val="24"/>
        </w:rPr>
        <w:t>★最低照度彩色：0.001 lx，黑白:0.0001 lx，灰度等级不小于11级。；  </w:t>
      </w:r>
    </w:p>
    <w:p>
      <w:pPr>
        <w:spacing w:line="360" w:lineRule="auto"/>
        <w:ind w:firstLine="480" w:firstLineChars="200"/>
        <w:rPr>
          <w:rFonts w:hAnsi="宋体" w:cs="宋体"/>
          <w:color w:val="000000"/>
          <w:sz w:val="24"/>
          <w:szCs w:val="24"/>
        </w:rPr>
      </w:pPr>
      <w:r>
        <w:rPr>
          <w:rFonts w:hint="eastAsia" w:hAnsi="宋体" w:cs="宋体"/>
          <w:color w:val="000000"/>
          <w:sz w:val="24"/>
          <w:szCs w:val="24"/>
        </w:rPr>
        <w:t>★红外补光距离不小于85米；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需支持三码流技术，可同时浏览三路码流，主码流最高1920x1080@30fps，第三码流最大1920x1080 @ 30fps，子码流704x480@30fps；  </w:t>
      </w:r>
    </w:p>
    <w:p>
      <w:pPr>
        <w:spacing w:line="360" w:lineRule="auto"/>
        <w:ind w:firstLine="480" w:firstLineChars="200"/>
        <w:rPr>
          <w:rFonts w:hAnsi="宋体" w:cs="宋体"/>
          <w:color w:val="000000"/>
          <w:sz w:val="24"/>
          <w:szCs w:val="24"/>
        </w:rPr>
      </w:pPr>
      <w:r>
        <w:rPr>
          <w:rFonts w:hint="eastAsia" w:hAnsi="宋体" w:cs="宋体"/>
          <w:color w:val="000000"/>
          <w:sz w:val="24"/>
          <w:szCs w:val="24"/>
        </w:rPr>
        <w:t>在1920x1080 @ 25fps下，清晰度不小于1100TVL；  </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支持H.264、H.265、MJPEG视频编码格式，其中H.264支持Baseline/Main/High Profile；  </w:t>
      </w:r>
    </w:p>
    <w:p>
      <w:pPr>
        <w:spacing w:line="360" w:lineRule="auto"/>
        <w:ind w:firstLine="480" w:firstLineChars="200"/>
        <w:rPr>
          <w:rFonts w:hAnsi="宋体" w:cs="宋体"/>
          <w:color w:val="000000"/>
          <w:sz w:val="24"/>
          <w:szCs w:val="24"/>
        </w:rPr>
      </w:pPr>
      <w:r>
        <w:rPr>
          <w:rFonts w:hint="eastAsia" w:hAnsi="宋体" w:cs="宋体"/>
          <w:color w:val="000000"/>
          <w:sz w:val="24"/>
          <w:szCs w:val="24"/>
        </w:rPr>
        <w:t>★信噪比不小于59dB；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需具不小于105dB宽动态；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需支持符显示，字体颜色可设置，需具有图片叠加到视频画面功能  </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支持区域遮盖功能，并能支持4块区域；  </w:t>
      </w:r>
    </w:p>
    <w:p>
      <w:pPr>
        <w:spacing w:line="360" w:lineRule="auto"/>
        <w:ind w:firstLine="480" w:firstLineChars="200"/>
        <w:rPr>
          <w:rFonts w:hAnsi="宋体" w:cs="宋体"/>
          <w:color w:val="000000"/>
          <w:sz w:val="24"/>
          <w:szCs w:val="24"/>
        </w:rPr>
      </w:pPr>
      <w:r>
        <w:rPr>
          <w:rFonts w:hint="eastAsia" w:hAnsi="宋体" w:cs="宋体"/>
          <w:color w:val="000000"/>
          <w:sz w:val="24"/>
          <w:szCs w:val="24"/>
        </w:rPr>
        <w:t>设置密码时，需可以自动提示密码复杂度为高、中、低；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★需具有黑白名单功能，其中白名单可添加不小于10个IP地址；  </w:t>
      </w:r>
    </w:p>
    <w:p>
      <w:pPr>
        <w:spacing w:line="360" w:lineRule="auto"/>
        <w:ind w:firstLine="480" w:firstLineChars="200"/>
        <w:rPr>
          <w:rFonts w:hAnsi="宋体" w:cs="宋体"/>
          <w:color w:val="000000"/>
          <w:sz w:val="24"/>
          <w:szCs w:val="24"/>
        </w:rPr>
      </w:pPr>
      <w:r>
        <w:rPr>
          <w:rFonts w:hint="eastAsia" w:hAnsi="宋体" w:cs="宋体"/>
          <w:color w:val="000000"/>
          <w:sz w:val="24"/>
          <w:szCs w:val="24"/>
        </w:rPr>
        <w:t>★设备支持无需输入用户名和密码即能浏览视频图像的匿名访问功能；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★需具备人脸检测、区域入侵检测、越界检测、虚焦检测、进入区域、离开区域、徘徊、人员聚集、场景变更等功能；</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需具有电子防抖、ROI感兴趣区域、SVC可伸缩编码、自动增益、背光补偿、数字降噪、强光抑制、防红外过曝等功能；  </w:t>
      </w:r>
    </w:p>
    <w:p>
      <w:pPr>
        <w:spacing w:line="360" w:lineRule="auto"/>
        <w:ind w:firstLine="480" w:firstLineChars="200"/>
        <w:rPr>
          <w:rFonts w:hAnsi="宋体" w:cs="宋体"/>
          <w:color w:val="000000"/>
          <w:sz w:val="24"/>
          <w:szCs w:val="24"/>
        </w:rPr>
      </w:pPr>
      <w:r>
        <w:rPr>
          <w:rFonts w:hint="eastAsia" w:hAnsi="宋体" w:cs="宋体"/>
          <w:color w:val="000000"/>
          <w:sz w:val="24"/>
          <w:szCs w:val="24"/>
        </w:rPr>
        <w:t>摄像机能够在-30~60摄氏度，湿度小于93%环境下稳定工作；  </w:t>
      </w:r>
    </w:p>
    <w:p>
      <w:pPr>
        <w:spacing w:line="360" w:lineRule="auto"/>
        <w:ind w:firstLine="480" w:firstLineChars="200"/>
        <w:rPr>
          <w:rFonts w:hAnsi="宋体" w:cs="宋体"/>
          <w:color w:val="000000"/>
          <w:sz w:val="24"/>
          <w:szCs w:val="24"/>
        </w:rPr>
      </w:pPr>
      <w:r>
        <w:rPr>
          <w:rFonts w:hint="eastAsia" w:hAnsi="宋体" w:cs="宋体"/>
          <w:color w:val="000000"/>
          <w:sz w:val="24"/>
          <w:szCs w:val="24"/>
        </w:rPr>
        <w:t>不低于IP67防尘防水等级；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需具有1个RJ-45 10M/100M自适应网络接口；  </w:t>
      </w:r>
    </w:p>
    <w:p>
      <w:pPr>
        <w:spacing w:line="360" w:lineRule="auto"/>
        <w:ind w:firstLine="480" w:firstLineChars="200"/>
        <w:rPr>
          <w:rFonts w:hAnsi="宋体" w:cs="宋体"/>
          <w:color w:val="000000"/>
          <w:sz w:val="24"/>
          <w:szCs w:val="24"/>
        </w:rPr>
      </w:pPr>
      <w:r>
        <w:rPr>
          <w:rFonts w:hint="eastAsia" w:hAnsi="宋体" w:cs="宋体"/>
          <w:color w:val="000000"/>
          <w:sz w:val="24"/>
          <w:szCs w:val="24"/>
        </w:rPr>
        <w:t>需支持DC12V供电，且在不小于DC12V±30%范围内变化时可以正常工作；  </w:t>
      </w:r>
    </w:p>
    <w:p>
      <w:pPr>
        <w:spacing w:line="360" w:lineRule="auto"/>
        <w:ind w:firstLine="480" w:firstLineChars="200"/>
        <w:rPr>
          <w:rFonts w:hAnsi="宋体" w:cs="宋体"/>
          <w:color w:val="000000"/>
          <w:sz w:val="24"/>
          <w:szCs w:val="24"/>
        </w:rPr>
      </w:pPr>
      <w:r>
        <w:rPr>
          <w:rFonts w:hint="eastAsia" w:hAnsi="宋体" w:cs="宋体"/>
          <w:color w:val="000000"/>
          <w:sz w:val="24"/>
          <w:szCs w:val="24"/>
        </w:rPr>
        <w:t>设备工作状态时，支持空气放电8kV，接触放电6kV，通讯端口支持6kV峰值电压；</w:t>
      </w:r>
    </w:p>
    <w:p>
      <w:pPr>
        <w:spacing w:line="360" w:lineRule="auto"/>
        <w:ind w:firstLine="480" w:firstLineChars="200"/>
        <w:rPr>
          <w:rFonts w:hAnsi="宋体" w:cs="宋体"/>
          <w:color w:val="000000"/>
          <w:sz w:val="24"/>
          <w:szCs w:val="24"/>
        </w:rPr>
      </w:pPr>
      <w:r>
        <w:rPr>
          <w:rFonts w:hint="eastAsia" w:hAnsi="宋体" w:cs="宋体"/>
          <w:color w:val="000000"/>
          <w:sz w:val="24"/>
          <w:szCs w:val="24"/>
        </w:rPr>
        <w:t>★同一场景相同图像质量下开启智能编码方式后，码率可节约1/3。</w:t>
      </w:r>
    </w:p>
    <w:p>
      <w:pPr>
        <w:spacing w:line="360" w:lineRule="auto"/>
        <w:ind w:firstLine="480" w:firstLineChars="200"/>
        <w:rPr>
          <w:rFonts w:hAnsi="宋体" w:cs="宋体"/>
          <w:color w:val="000000"/>
          <w:sz w:val="24"/>
          <w:szCs w:val="24"/>
        </w:rPr>
      </w:pPr>
    </w:p>
    <w:p>
      <w:pPr>
        <w:tabs>
          <w:tab w:val="left" w:pos="360"/>
        </w:tabs>
        <w:spacing w:line="360" w:lineRule="auto"/>
        <w:rPr>
          <w:rFonts w:hAnsi="宋体"/>
          <w:b/>
          <w:sz w:val="24"/>
          <w:szCs w:val="24"/>
        </w:rPr>
      </w:pPr>
      <w:r>
        <w:rPr>
          <w:rFonts w:hint="eastAsia" w:hAnsi="宋体"/>
          <w:b/>
          <w:sz w:val="24"/>
          <w:szCs w:val="24"/>
        </w:rPr>
        <w:t>4</w:t>
      </w:r>
      <w:r>
        <w:rPr>
          <w:rFonts w:hAnsi="宋体"/>
          <w:b/>
          <w:sz w:val="24"/>
          <w:szCs w:val="24"/>
        </w:rPr>
        <w:t>、</w:t>
      </w:r>
      <w:r>
        <w:rPr>
          <w:rFonts w:hint="eastAsia" w:hAnsi="宋体"/>
          <w:b/>
          <w:sz w:val="24"/>
          <w:szCs w:val="24"/>
        </w:rPr>
        <w:t>高清网络红外球机</w:t>
      </w:r>
    </w:p>
    <w:p>
      <w:pPr>
        <w:spacing w:line="360" w:lineRule="auto"/>
        <w:ind w:firstLine="480" w:firstLineChars="200"/>
        <w:rPr>
          <w:rFonts w:hAnsi="宋体" w:cs="宋体"/>
          <w:color w:val="000000"/>
          <w:sz w:val="24"/>
          <w:szCs w:val="24"/>
        </w:rPr>
      </w:pPr>
      <w:r>
        <w:rPr>
          <w:rFonts w:hint="eastAsia" w:hAnsi="宋体" w:cs="宋体"/>
          <w:color w:val="000000"/>
          <w:sz w:val="24"/>
          <w:szCs w:val="24"/>
        </w:rPr>
        <w:t>视频输出支持1920×1080@60fps，1280×720@60fps，分辨力不小于1100TVL</w:t>
      </w:r>
    </w:p>
    <w:p>
      <w:pPr>
        <w:spacing w:line="360" w:lineRule="auto"/>
        <w:ind w:firstLine="480" w:firstLineChars="200"/>
        <w:rPr>
          <w:rFonts w:hAnsi="宋体" w:cs="宋体"/>
          <w:color w:val="000000"/>
          <w:sz w:val="24"/>
          <w:szCs w:val="24"/>
        </w:rPr>
      </w:pPr>
      <w:r>
        <w:rPr>
          <w:rFonts w:hint="eastAsia" w:hAnsi="宋体" w:cs="宋体"/>
          <w:color w:val="000000"/>
          <w:sz w:val="24"/>
          <w:szCs w:val="24"/>
        </w:rPr>
        <w:t>红外距离不小于400米</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支持20倍光学变焦</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★支持最低照度可达彩色0.001Lux，黑白0.0001Lux</w:t>
      </w:r>
    </w:p>
    <w:p>
      <w:pPr>
        <w:spacing w:line="360" w:lineRule="auto"/>
        <w:ind w:firstLine="480" w:firstLineChars="200"/>
        <w:rPr>
          <w:rFonts w:hAnsi="宋体" w:cs="宋体"/>
          <w:color w:val="000000"/>
          <w:sz w:val="24"/>
          <w:szCs w:val="24"/>
        </w:rPr>
      </w:pPr>
      <w:r>
        <w:rPr>
          <w:rFonts w:hint="eastAsia" w:hAnsi="宋体" w:cs="宋体"/>
          <w:color w:val="000000"/>
          <w:sz w:val="24"/>
          <w:szCs w:val="24"/>
        </w:rPr>
        <w:t>★亮度信号信噪比≥57dB，网络延时不大于110ms</w:t>
      </w:r>
    </w:p>
    <w:p>
      <w:pPr>
        <w:spacing w:line="360" w:lineRule="auto"/>
        <w:ind w:firstLine="480" w:firstLineChars="200"/>
        <w:rPr>
          <w:rFonts w:hAnsi="宋体" w:cs="宋体"/>
          <w:color w:val="000000"/>
          <w:sz w:val="24"/>
          <w:szCs w:val="24"/>
        </w:rPr>
      </w:pPr>
      <w:r>
        <w:rPr>
          <w:rFonts w:hint="eastAsia" w:hAnsi="宋体" w:cs="宋体"/>
          <w:color w:val="000000"/>
          <w:sz w:val="24"/>
          <w:szCs w:val="24"/>
        </w:rPr>
        <w:t>★网络传输能力满足发送1000个数据包，重复测试3次，每次丢包数不大于2个</w:t>
      </w:r>
    </w:p>
    <w:p>
      <w:pPr>
        <w:spacing w:line="360" w:lineRule="auto"/>
        <w:ind w:firstLine="480" w:firstLineChars="200"/>
        <w:rPr>
          <w:rFonts w:hAnsi="宋体" w:cs="宋体"/>
          <w:color w:val="000000"/>
          <w:sz w:val="24"/>
          <w:szCs w:val="24"/>
        </w:rPr>
      </w:pPr>
      <w:r>
        <w:rPr>
          <w:rFonts w:hint="eastAsia" w:hAnsi="宋体" w:cs="宋体"/>
          <w:color w:val="000000"/>
          <w:sz w:val="24"/>
          <w:szCs w:val="24"/>
        </w:rPr>
        <w:t>★具备较强的网络自适应能力，在丢包率为5%的网络环境下，仍可正常显示监视画面</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支持宽动态、透雾、强光抑制、电子防抖、数字降噪、防红外过曝功能</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支持区域遮盖功能，支持最多24块多边形区域，支持多种颜色可选</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★支持水平手控速度不小于480°/S，云台定位精度为±0.1°</w:t>
      </w:r>
    </w:p>
    <w:p>
      <w:pPr>
        <w:spacing w:line="360" w:lineRule="auto"/>
        <w:ind w:firstLine="480" w:firstLineChars="200"/>
        <w:rPr>
          <w:rFonts w:hAnsi="宋体" w:cs="宋体"/>
          <w:color w:val="000000"/>
          <w:sz w:val="24"/>
          <w:szCs w:val="24"/>
        </w:rPr>
      </w:pPr>
      <w:r>
        <w:rPr>
          <w:rFonts w:hint="eastAsia" w:hAnsi="宋体" w:cs="宋体"/>
          <w:color w:val="000000"/>
          <w:sz w:val="24"/>
          <w:szCs w:val="24"/>
        </w:rPr>
        <w:t>垂直手控速度不小于120°/S，水平旋转范围为360°连续旋转，垂直旋转范围为-30°~90°</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支持7路报警输入接口，2路报警输出接口，支持1路音频输入和输出接口</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支持300个预置位，支持18条巡航扫描，支持7条以上的模式路径设置，支持预置点视频冻结功能</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支持云台优先级控制，485与网络可设置不同优先级</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支持断电记忆功能，支持黑白名单过滤功能，支持定时抓图、事件抓图上传ftp功能</w:t>
      </w:r>
    </w:p>
    <w:p>
      <w:pPr>
        <w:spacing w:line="360" w:lineRule="auto"/>
        <w:ind w:firstLine="480" w:firstLineChars="200"/>
        <w:rPr>
          <w:rFonts w:hAnsi="宋体" w:cs="宋体"/>
          <w:color w:val="000000"/>
          <w:sz w:val="24"/>
          <w:szCs w:val="24"/>
        </w:rPr>
      </w:pPr>
      <w:r>
        <w:rPr>
          <w:rFonts w:hint="eastAsia" w:hAnsi="宋体" w:cs="宋体"/>
          <w:color w:val="000000"/>
          <w:sz w:val="24"/>
          <w:szCs w:val="24"/>
        </w:rPr>
        <w:t>球机应具备本地存储功能，支持SD卡热插拔，最大支持128GB</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★支持采用H.265、H.264、MJPEG视频编码标准，H.264编码支持Baseline/Main/High Profile，音频编码支持fG.711ulaw/G.711alaw/G.726/MP2L2/AAC</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★支持三码流同时输出，主码流、第三码流同时支持1920×1080@60fps，1280×720@60fps</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支持GB28181协议，支持标准Onvif协议</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★支持48kHz音频采样率</w:t>
      </w:r>
    </w:p>
    <w:p>
      <w:pPr>
        <w:spacing w:line="360" w:lineRule="auto"/>
        <w:ind w:firstLine="480" w:firstLineChars="200"/>
        <w:rPr>
          <w:rFonts w:hAnsi="宋体" w:cs="宋体"/>
          <w:color w:val="000000"/>
          <w:sz w:val="24"/>
          <w:szCs w:val="24"/>
        </w:rPr>
      </w:pPr>
      <w:r>
        <w:rPr>
          <w:rFonts w:hint="eastAsia" w:hAnsi="宋体" w:cs="宋体"/>
          <w:color w:val="000000"/>
          <w:sz w:val="24"/>
          <w:szCs w:val="24"/>
        </w:rPr>
        <w:t>★支持区域入侵、越界入侵、徘徊、物品遗留、物品移除、音频异常、人脸检测、人员聚集、快速移动、进入区域、离开区域，并联动报警。</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★车辆捕获率不小于99%，支持车牌识别，同时可在抓拍图片上叠加设备编号、抓拍时间、车牌号码、车身颜色、车辆类型等信息</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★支持非机动车、车辆检测，并可按设定的时间对非机动车、车辆检测场景进行轮巡检测</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★支持非机动车抓拍，可对自行车、电瓶车、摩托车、三轮车进行抓拍</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室外球机应具备较好防护性能，支持IP67，TVS 8000V防雷、防浪涌、防突波</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具备较好的环境适应性，工作温度范围可达-45℃-70℃</w:t>
      </w:r>
    </w:p>
    <w:p>
      <w:pPr>
        <w:spacing w:line="360" w:lineRule="auto"/>
        <w:ind w:firstLine="480" w:firstLineChars="200"/>
        <w:rPr>
          <w:rFonts w:hAnsi="宋体" w:cs="宋体"/>
          <w:color w:val="000000"/>
          <w:sz w:val="24"/>
          <w:szCs w:val="24"/>
        </w:rPr>
      </w:pPr>
    </w:p>
    <w:p>
      <w:pPr>
        <w:tabs>
          <w:tab w:val="left" w:pos="360"/>
        </w:tabs>
        <w:spacing w:line="360" w:lineRule="auto"/>
        <w:rPr>
          <w:rFonts w:hAnsi="宋体"/>
          <w:b/>
          <w:sz w:val="24"/>
          <w:szCs w:val="24"/>
        </w:rPr>
      </w:pPr>
      <w:r>
        <w:rPr>
          <w:rFonts w:hint="eastAsia" w:hAnsi="宋体"/>
          <w:b/>
          <w:sz w:val="24"/>
          <w:szCs w:val="24"/>
        </w:rPr>
        <w:t>5、车辆抓拍高清网络摄像机</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包含高清一体化嵌入式摄像机、高清镜头、室外防护罩、网络信号防雷器、电源适配器等。</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传感器类型：1/1.8" Progressive Scan CMOS；</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图像分辨率和帧率：最大支持分辨率1920x1200,帧率在1~60fps可调；</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镜头接口类型：C/CS接口；</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镜头：采用11～40mm变焦镜头；</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自动光圈：DC 驱动；</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日夜转换模式：ICR红外滤片式；</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快门：支持快门自动/手动切换，具有1/1秒至1/100,000秒可调；</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最低照度：彩色≤0.001 lx(AGC ON，RJ45输出)；黑白≤0.0001 lx (AGC ON，RJ45输出)；</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亮度(灰度)等级：≥11级；</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信噪比：不小于56dB；</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宽动态：需具120dB宽动态；</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需具有数字降噪功能、强光抑制功能；</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★视频压缩标准：需支持H.264（Main Profile 、High Profile 、BaseLine Profile ）视频压缩标准；（提供公安部检验报告证明）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视频压缩码率：32Kbps~64Mbps；</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★图像参数动态调整功能：应支持图像参数动态调整，如饱和度、亮度、对比度、锐度等；（提供公安部检验报告证明）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★激活设置密码功能：设备应具有激活及密码设置功能，设备需激活并强制设置密码，未经激活的设备不能正常使用；（提供公安部检验报告证明）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★登陆密码检测及提示功能：设置登陆密码时可自动提示密码复杂度为低、中、高；简单密码具有重新设置提醒功能；（提供公安部检验报告证明）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★自动维护重启功能：设备应具有自动维护重启功能，用户可设置自动维护重启的时间；（提供公安部检验报告证明）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★系统双备份功能：设备的操作系统文件具有双重备份功能，当一个备份文件损坏或异常时，设备仍可正常运行；（提供公安部检验报告证明）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★网络升级断网保护功能：设备在进行网络升级过程中，网络异常导致升级失败时，经重新启动后仍可使用升级前版本正常运行；（提供公安部检验报告证明）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★一键恢复功能：应支持reset键一键恢复默认参数，其密码及IP不变；（提供公安部检验报告证明）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★抗丢包能力：应具有抗丢包（5%）处理能力；（提供公安部检验报告证明）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★分辨力：彩色≥1000TVL（分辨率为</w:t>
      </w:r>
      <w:r>
        <w:rPr>
          <w:rFonts w:cs="宋体"/>
          <w:color w:val="000000"/>
          <w:sz w:val="24"/>
          <w:szCs w:val="24"/>
          <w:lang w:val="zh-CN"/>
        </w:rPr>
        <w:t>1920x1200</w:t>
      </w:r>
      <w:r>
        <w:rPr>
          <w:rFonts w:hint="eastAsia" w:cs="宋体"/>
          <w:color w:val="000000"/>
          <w:sz w:val="24"/>
          <w:szCs w:val="24"/>
          <w:lang w:val="zh-CN"/>
        </w:rPr>
        <w:t>、码率为4Mbps、帧率为25帧/s）；（提供公安部检验报告证明）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四码流配置功能：应支持四码流，主码流最高可配置分辨率为1920×1200、码率为4Mbps、帧率为25帧/s（H.264），子码流、第三码流、第四码流最高可配置分辨率为1920×1080、码率为4Mbps、帧率为25帧/s（H.264）；（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★多路访问功能：应支持主码流同时输出20路1920×1200、2Mbps的25帧/秒图像以提供客户端浏览；（提供公安部检验报告证明）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★车牌区域增强编码功能：应支持车牌区域增强编码功能；（提供公安部检验报告证明）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★时间校准功能：应可通过web或客户端对设备进行手动校时、ntp校时等功能；（提供公安部检验报告证明）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★虚焦检测功能：应支持虚焦检测，并可主动报警；（提供公安部检验报告证明）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★存储方式：应可将视频或图像存储到TF/SD卡，支持TF/SD卡热插拔，最大支持128GTF/SD卡；（提供公安部检验报告证明）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★3G/4G功能：应支持USB外接3G/4G模块，可接入3G/4G网络；（提供公安部检验报告证明）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★车辆行驶方向判断功能：应支持车辆行驶方向判断功能（东、南、西、北等）（提供公安部检验报告证明）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★车流量统计功能：应能够按车道和时段进行车辆流量、平均车速、不同类型车辆数等指标的统计（可生成图表），车流量统计有效率≥95%；（提供公安部检验报告证明）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★车牌识别功能：应具备车牌识别功能，白天识别准确率≥96%，晚上识别准确率≥95%；（提供公安部检验报告证明）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型识别功能：设备应可识别10种车型，包括：轿车、小型轿车、微型轿车、客车、中型客车、面包车、大货车、小货车、SUV-MPV、皮卡，白天识别准确率≥95%，晚上识别准确率≥90%；（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★车身颜色识别功能：设备应可识别11种车身颜色，包括：红、黄、蓝、绿、紫、粉、棕、白、黑、银（灰）、青，车身颜色识别准确率≥95%；（提供公安部检验报告证明）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★车标识别功能：设备应可识别250种车标，白天识别准确率≥95%，晚上识别准确率≥85%；（提供公安部检验报告证明）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★安全带检测功能：设备在实时记录通行车辆的同时，应具备安全带检测功能；系安全带检测准确率≥90%、误检率≤10%；未系安全带检出率≥80%、误检率≤10%；（提供公安部检验报告证明）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★声音异常检测告警功能：应可以检测周边陡升、陡降、突变及超门限声音并进行报警联动；（提供公安部检验报告证明）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★区域遮盖功能：应具有隐私区域遮盖功能，区域的个数不小于6个，大小、方向用户可自己设置；（提供公安部检验报告证明）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需支持录像标签叠加功能；</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需支持图片字符叠加功能，支持在抓拍图片上叠加抓拍时间、地点、车道号、车长、车身颜色、车牌号码等信息；</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支持协议：TCP/IP,HTTP,DHCP,DNS,RTP,RTSP, NTP支持FTP上传；</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通用功能：心跳,密码保护,NTP校时；</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图片格式：采用JPEG编码,图片质量可设；每张约300KB。</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视频分析：支持全画面分析、车牌号码识别、车牌颜色识别、车身颜色识别、车型识别；</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需支持机动车、非机动车分类功能：系统应能将捕获到的目标进行分类，分类至少包括机动车（不包括摩托车）、非机动车（二轮车、行人），分类准确率不低于60%；</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机动车、非机动车、行人捕获率：机动车（不包括摩托车）捕获率白天、晚上均为95%以上；二轮车（包括摩托车、自行车、电动二轮车）捕获率白天、晚上均为95%以上；行人捕获率白天90%以上，晚上85%以上；</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需支持倾斜车牌识别功能；</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通讯接口：需具有1 个RJ45 10M /100M/ 1000M 自适应以太网口,1个RS-485接口,1个RS-232接口；</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★应具有外部频率源同步接口，可与外部灯光或红绿灯同步；并具有外部接地接口；（提供公安部检验报告证明）</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设备应能在AC220V±25%的供电条件下正常工作；</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总功耗</w:t>
      </w:r>
      <w:r>
        <w:rPr>
          <w:rFonts w:hint="eastAsia" w:cs="宋体"/>
          <w:color w:val="000000"/>
          <w:sz w:val="24"/>
          <w:szCs w:val="24"/>
          <w:lang w:val="zh-CN"/>
        </w:rPr>
        <w:tab/>
      </w:r>
      <w:r>
        <w:rPr>
          <w:rFonts w:hint="eastAsia" w:cs="宋体"/>
          <w:color w:val="000000"/>
          <w:sz w:val="24"/>
          <w:szCs w:val="24"/>
          <w:lang w:val="zh-CN"/>
        </w:rPr>
        <w:t>＜36W；</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设备应能够在-40~85摄氏度，湿度小于93%环境下稳定工作；</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外壳防护等级：应达到IP66。</w:t>
      </w:r>
    </w:p>
    <w:p>
      <w:pPr>
        <w:spacing w:line="360" w:lineRule="auto"/>
        <w:ind w:firstLine="480" w:firstLineChars="200"/>
        <w:rPr>
          <w:rFonts w:cs="宋体"/>
          <w:color w:val="000000"/>
          <w:sz w:val="24"/>
          <w:szCs w:val="24"/>
          <w:lang w:val="zh-CN"/>
        </w:rPr>
      </w:pPr>
      <w:r>
        <w:rPr>
          <w:rFonts w:hint="eastAsia" w:cs="宋体"/>
          <w:color w:val="000000"/>
          <w:sz w:val="24"/>
          <w:szCs w:val="24"/>
          <w:lang w:val="zh-CN"/>
        </w:rPr>
        <w:t>智慧监控单元应符合</w:t>
      </w:r>
      <w:r>
        <w:rPr>
          <w:rFonts w:cs="宋体"/>
          <w:color w:val="000000"/>
          <w:sz w:val="24"/>
          <w:szCs w:val="24"/>
          <w:lang w:val="zh-CN"/>
        </w:rPr>
        <w:t>GB/T28181-2011 《安全防范视频监控联网系统信息传输、交换、控制技术要求》</w:t>
      </w:r>
      <w:r>
        <w:rPr>
          <w:rFonts w:hint="eastAsia" w:cs="宋体"/>
          <w:color w:val="000000"/>
          <w:sz w:val="24"/>
          <w:szCs w:val="24"/>
          <w:lang w:val="zh-CN"/>
        </w:rPr>
        <w:t>标准，提供公安部检测机构出具的</w:t>
      </w:r>
      <w:r>
        <w:rPr>
          <w:rFonts w:cs="宋体"/>
          <w:color w:val="000000"/>
          <w:sz w:val="24"/>
          <w:szCs w:val="24"/>
          <w:lang w:val="zh-CN"/>
        </w:rPr>
        <w:t>GB/T28181-2011</w:t>
      </w:r>
      <w:r>
        <w:rPr>
          <w:rFonts w:hint="eastAsia" w:cs="宋体"/>
          <w:color w:val="000000"/>
          <w:sz w:val="24"/>
          <w:szCs w:val="24"/>
          <w:lang w:val="zh-CN"/>
        </w:rPr>
        <w:t>检验报告。</w:t>
      </w:r>
    </w:p>
    <w:p>
      <w:pPr>
        <w:spacing w:line="360" w:lineRule="auto"/>
        <w:ind w:firstLine="480" w:firstLineChars="200"/>
        <w:rPr>
          <w:rFonts w:hAnsi="宋体" w:cs="宋体"/>
          <w:color w:val="000000"/>
          <w:sz w:val="24"/>
          <w:szCs w:val="24"/>
        </w:rPr>
      </w:pPr>
    </w:p>
    <w:p>
      <w:pPr>
        <w:tabs>
          <w:tab w:val="left" w:pos="360"/>
        </w:tabs>
        <w:spacing w:line="360" w:lineRule="auto"/>
        <w:rPr>
          <w:rFonts w:hAnsi="宋体"/>
          <w:b/>
          <w:sz w:val="24"/>
          <w:szCs w:val="24"/>
        </w:rPr>
      </w:pPr>
      <w:r>
        <w:rPr>
          <w:rFonts w:hint="eastAsia" w:hAnsi="宋体"/>
          <w:b/>
          <w:sz w:val="24"/>
          <w:szCs w:val="24"/>
        </w:rPr>
        <w:t>6、智慧校园综合管理平台</w:t>
      </w:r>
    </w:p>
    <w:p>
      <w:pPr>
        <w:spacing w:line="360" w:lineRule="auto"/>
        <w:ind w:firstLine="480" w:firstLineChars="200"/>
        <w:rPr>
          <w:sz w:val="24"/>
          <w:szCs w:val="24"/>
        </w:rPr>
      </w:pPr>
      <w:r>
        <w:rPr>
          <w:rFonts w:hint="eastAsia"/>
          <w:sz w:val="24"/>
          <w:szCs w:val="24"/>
        </w:rPr>
        <w:t>500路视频接入，限制IP地址段、MAC地址的用户登录管理</w:t>
      </w:r>
    </w:p>
    <w:p>
      <w:pPr>
        <w:spacing w:line="360" w:lineRule="auto"/>
        <w:ind w:firstLine="480" w:firstLineChars="200"/>
        <w:rPr>
          <w:sz w:val="24"/>
          <w:szCs w:val="24"/>
        </w:rPr>
      </w:pPr>
      <w:r>
        <w:rPr>
          <w:rFonts w:hint="eastAsia"/>
          <w:sz w:val="24"/>
          <w:szCs w:val="24"/>
        </w:rPr>
        <w:t>支持强制登录在线用户下线</w:t>
      </w:r>
    </w:p>
    <w:p>
      <w:pPr>
        <w:spacing w:line="360" w:lineRule="auto"/>
        <w:ind w:firstLine="480" w:firstLineChars="200"/>
        <w:rPr>
          <w:sz w:val="24"/>
          <w:szCs w:val="24"/>
        </w:rPr>
      </w:pPr>
      <w:r>
        <w:rPr>
          <w:rFonts w:hint="eastAsia"/>
          <w:sz w:val="24"/>
          <w:szCs w:val="24"/>
        </w:rPr>
        <w:t>支持用户优先级管理功能，清晰的用户优先等级制度，用户优先等级可设置，利用干线管理进行云台抢占以及流媒体抢占</w:t>
      </w:r>
    </w:p>
    <w:p>
      <w:pPr>
        <w:spacing w:line="360" w:lineRule="auto"/>
        <w:ind w:firstLine="480" w:firstLineChars="200"/>
        <w:rPr>
          <w:sz w:val="24"/>
          <w:szCs w:val="24"/>
        </w:rPr>
      </w:pPr>
      <w:r>
        <w:rPr>
          <w:rFonts w:hint="eastAsia"/>
          <w:sz w:val="24"/>
          <w:szCs w:val="24"/>
        </w:rPr>
        <w:t>用户等级支持90级</w:t>
      </w:r>
    </w:p>
    <w:p>
      <w:pPr>
        <w:spacing w:line="360" w:lineRule="auto"/>
        <w:ind w:firstLine="480" w:firstLineChars="200"/>
        <w:rPr>
          <w:sz w:val="24"/>
          <w:szCs w:val="24"/>
        </w:rPr>
      </w:pPr>
      <w:r>
        <w:rPr>
          <w:rFonts w:hint="eastAsia"/>
          <w:sz w:val="24"/>
          <w:szCs w:val="24"/>
        </w:rPr>
        <w:t>组织管理提供组织结构的增删改管理，组织结构目前支持深度为5级</w:t>
      </w:r>
    </w:p>
    <w:p>
      <w:pPr>
        <w:spacing w:line="360" w:lineRule="auto"/>
        <w:ind w:firstLine="480" w:firstLineChars="200"/>
        <w:rPr>
          <w:sz w:val="24"/>
          <w:szCs w:val="24"/>
        </w:rPr>
      </w:pPr>
      <w:r>
        <w:rPr>
          <w:rFonts w:hint="eastAsia"/>
          <w:sz w:val="24"/>
          <w:szCs w:val="24"/>
        </w:rPr>
        <w:t>支持1/4/9/16画面及全屏预览方式。支持画面自定义布局显示</w:t>
      </w:r>
    </w:p>
    <w:p>
      <w:pPr>
        <w:spacing w:line="360" w:lineRule="auto"/>
        <w:ind w:firstLine="480" w:firstLineChars="200"/>
        <w:rPr>
          <w:sz w:val="24"/>
          <w:szCs w:val="24"/>
        </w:rPr>
      </w:pPr>
      <w:r>
        <w:rPr>
          <w:rFonts w:hint="eastAsia"/>
          <w:sz w:val="24"/>
          <w:szCs w:val="24"/>
        </w:rPr>
        <w:t>预览画面应支持4:3、16:9及画面自适应比例</w:t>
      </w:r>
    </w:p>
    <w:p>
      <w:pPr>
        <w:spacing w:line="360" w:lineRule="auto"/>
        <w:ind w:firstLine="480" w:firstLineChars="200"/>
        <w:rPr>
          <w:sz w:val="24"/>
          <w:szCs w:val="24"/>
        </w:rPr>
      </w:pPr>
      <w:r>
        <w:rPr>
          <w:rFonts w:hint="eastAsia"/>
          <w:sz w:val="24"/>
          <w:szCs w:val="24"/>
        </w:rPr>
        <w:t>视频支持查看图像分辨率、码率、编码格式、码流类型</w:t>
      </w:r>
    </w:p>
    <w:p>
      <w:pPr>
        <w:spacing w:line="360" w:lineRule="auto"/>
        <w:ind w:firstLine="480" w:firstLineChars="200"/>
        <w:rPr>
          <w:sz w:val="24"/>
          <w:szCs w:val="24"/>
        </w:rPr>
      </w:pPr>
      <w:r>
        <w:rPr>
          <w:rFonts w:hint="eastAsia"/>
          <w:sz w:val="24"/>
          <w:szCs w:val="24"/>
        </w:rPr>
        <w:t>预览界面应支持音频控制、主子码流切换、手动录像、抓图及连续抓图</w:t>
      </w:r>
    </w:p>
    <w:p>
      <w:pPr>
        <w:spacing w:line="360" w:lineRule="auto"/>
        <w:ind w:firstLine="480" w:firstLineChars="200"/>
        <w:rPr>
          <w:sz w:val="24"/>
          <w:szCs w:val="24"/>
        </w:rPr>
      </w:pPr>
      <w:r>
        <w:rPr>
          <w:rFonts w:hint="eastAsia"/>
          <w:sz w:val="24"/>
          <w:szCs w:val="24"/>
        </w:rPr>
        <w:t>预览应支持自动断网重连</w:t>
      </w:r>
    </w:p>
    <w:p>
      <w:pPr>
        <w:spacing w:line="360" w:lineRule="auto"/>
        <w:ind w:firstLine="480" w:firstLineChars="200"/>
        <w:rPr>
          <w:sz w:val="24"/>
          <w:szCs w:val="24"/>
        </w:rPr>
      </w:pPr>
      <w:r>
        <w:rPr>
          <w:rFonts w:hint="eastAsia"/>
          <w:sz w:val="24"/>
          <w:szCs w:val="24"/>
        </w:rPr>
        <w:t>支持电子放大和3D放大</w:t>
      </w:r>
    </w:p>
    <w:p>
      <w:pPr>
        <w:spacing w:line="360" w:lineRule="auto"/>
        <w:ind w:firstLine="480" w:firstLineChars="200"/>
        <w:rPr>
          <w:sz w:val="24"/>
          <w:szCs w:val="24"/>
        </w:rPr>
      </w:pPr>
      <w:r>
        <w:rPr>
          <w:rFonts w:hint="eastAsia"/>
          <w:sz w:val="24"/>
          <w:szCs w:val="24"/>
        </w:rPr>
        <w:t>客户端画面支持9：16的竖屏走廊模式显示。</w:t>
      </w:r>
    </w:p>
    <w:p>
      <w:pPr>
        <w:spacing w:line="360" w:lineRule="auto"/>
        <w:ind w:firstLine="480" w:firstLineChars="200"/>
        <w:rPr>
          <w:sz w:val="24"/>
          <w:szCs w:val="24"/>
        </w:rPr>
      </w:pPr>
      <w:r>
        <w:rPr>
          <w:rFonts w:hint="eastAsia"/>
          <w:sz w:val="24"/>
          <w:szCs w:val="24"/>
        </w:rPr>
        <w:t>支持全景图像拼接功能</w:t>
      </w:r>
    </w:p>
    <w:p>
      <w:pPr>
        <w:spacing w:line="360" w:lineRule="auto"/>
        <w:ind w:firstLine="480" w:firstLineChars="200"/>
        <w:rPr>
          <w:sz w:val="24"/>
          <w:szCs w:val="24"/>
        </w:rPr>
      </w:pPr>
      <w:r>
        <w:rPr>
          <w:rFonts w:hint="eastAsia"/>
          <w:sz w:val="24"/>
          <w:szCs w:val="24"/>
        </w:rPr>
        <w:t>支持H.264，Mpeg4，H.265等视频编码和G711、G722、AAC等音频编码</w:t>
      </w:r>
    </w:p>
    <w:p>
      <w:pPr>
        <w:spacing w:line="360" w:lineRule="auto"/>
        <w:ind w:firstLine="480" w:firstLineChars="200"/>
        <w:rPr>
          <w:sz w:val="24"/>
          <w:szCs w:val="24"/>
        </w:rPr>
      </w:pPr>
      <w:r>
        <w:rPr>
          <w:rFonts w:hint="eastAsia"/>
          <w:sz w:val="24"/>
          <w:szCs w:val="24"/>
        </w:rPr>
        <w:t>支持云台设置锁定的时长；根据用户等级抢占云台</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支持设备存储、嵌入式存储、云存储</w:t>
      </w:r>
    </w:p>
    <w:p>
      <w:pPr>
        <w:spacing w:line="360" w:lineRule="auto"/>
        <w:ind w:firstLine="480" w:firstLineChars="200"/>
        <w:rPr>
          <w:sz w:val="24"/>
          <w:szCs w:val="24"/>
        </w:rPr>
      </w:pPr>
      <w:r>
        <w:rPr>
          <w:rFonts w:hint="eastAsia"/>
          <w:sz w:val="24"/>
          <w:szCs w:val="24"/>
        </w:rPr>
        <w:t>支持录像标签的添加标签，通过录像标签检索录像文件</w:t>
      </w:r>
    </w:p>
    <w:p>
      <w:pPr>
        <w:spacing w:line="360" w:lineRule="auto"/>
        <w:ind w:firstLine="480" w:firstLineChars="200"/>
        <w:rPr>
          <w:sz w:val="24"/>
          <w:szCs w:val="24"/>
        </w:rPr>
      </w:pPr>
      <w:r>
        <w:rPr>
          <w:rFonts w:hint="eastAsia"/>
          <w:sz w:val="24"/>
          <w:szCs w:val="24"/>
        </w:rPr>
        <w:t>支持对多路视频文件同时下载并显示视频的下载进度和速度，支持系统异常中断回复后下载未完成的视频文件</w:t>
      </w:r>
    </w:p>
    <w:p>
      <w:pPr>
        <w:spacing w:line="360" w:lineRule="auto"/>
        <w:ind w:firstLine="480" w:firstLineChars="200"/>
        <w:rPr>
          <w:sz w:val="24"/>
          <w:szCs w:val="24"/>
        </w:rPr>
      </w:pPr>
      <w:r>
        <w:rPr>
          <w:rFonts w:hint="eastAsia"/>
          <w:sz w:val="24"/>
          <w:szCs w:val="24"/>
        </w:rPr>
        <w:t>支持多路视频文件同时播放，支持同步回放或异步回放</w:t>
      </w:r>
    </w:p>
    <w:p>
      <w:pPr>
        <w:spacing w:line="360" w:lineRule="auto"/>
        <w:ind w:firstLine="480" w:firstLineChars="200"/>
        <w:rPr>
          <w:sz w:val="24"/>
          <w:szCs w:val="24"/>
        </w:rPr>
      </w:pPr>
      <w:r>
        <w:rPr>
          <w:rFonts w:hint="eastAsia"/>
          <w:sz w:val="24"/>
          <w:szCs w:val="24"/>
        </w:rPr>
        <w:t>支持对同一通道录像资料分成不同时间段同时播放，应支持4段、9段、16段分段播放模式，分段录像应支持缩略图显示</w:t>
      </w:r>
    </w:p>
    <w:p>
      <w:pPr>
        <w:spacing w:line="360" w:lineRule="auto"/>
        <w:ind w:firstLine="480" w:firstLineChars="200"/>
        <w:rPr>
          <w:sz w:val="24"/>
          <w:szCs w:val="24"/>
        </w:rPr>
      </w:pPr>
      <w:r>
        <w:rPr>
          <w:rFonts w:hint="eastAsia"/>
          <w:sz w:val="24"/>
          <w:szCs w:val="24"/>
        </w:rPr>
        <w:t>回放应支持暂停、停止、单帧进、单帧退、调整播放速度（1/16倍至16倍）、画面自适应、画面拉伸、全屏等模式</w:t>
      </w:r>
    </w:p>
    <w:p>
      <w:pPr>
        <w:spacing w:line="360" w:lineRule="auto"/>
        <w:ind w:firstLine="480" w:firstLineChars="200"/>
        <w:rPr>
          <w:sz w:val="24"/>
          <w:szCs w:val="24"/>
        </w:rPr>
      </w:pPr>
      <w:r>
        <w:rPr>
          <w:rFonts w:hint="eastAsia"/>
          <w:sz w:val="24"/>
          <w:szCs w:val="24"/>
        </w:rPr>
        <w:t>回放支持监控点信息查看分辨率、码率、编码格式、帧率</w:t>
      </w:r>
    </w:p>
    <w:p>
      <w:pPr>
        <w:spacing w:line="360" w:lineRule="auto"/>
        <w:ind w:firstLine="480" w:firstLineChars="200"/>
        <w:rPr>
          <w:sz w:val="24"/>
          <w:szCs w:val="24"/>
        </w:rPr>
      </w:pPr>
      <w:r>
        <w:rPr>
          <w:rFonts w:hint="eastAsia"/>
          <w:sz w:val="24"/>
          <w:szCs w:val="24"/>
        </w:rPr>
        <w:t>支持音频控制、电子放大、抓图、连续抓图</w:t>
      </w:r>
    </w:p>
    <w:p>
      <w:pPr>
        <w:spacing w:line="360" w:lineRule="auto"/>
        <w:ind w:firstLine="480" w:firstLineChars="200"/>
        <w:rPr>
          <w:sz w:val="24"/>
          <w:szCs w:val="24"/>
        </w:rPr>
      </w:pPr>
      <w:r>
        <w:rPr>
          <w:rFonts w:hint="eastAsia"/>
          <w:sz w:val="24"/>
          <w:szCs w:val="24"/>
        </w:rPr>
        <w:t>鼠标悬停在时间轴上显示关键帧缩略图</w:t>
      </w:r>
    </w:p>
    <w:p>
      <w:pPr>
        <w:spacing w:line="360" w:lineRule="auto"/>
        <w:ind w:firstLine="480" w:firstLineChars="200"/>
        <w:rPr>
          <w:sz w:val="24"/>
          <w:szCs w:val="24"/>
        </w:rPr>
      </w:pPr>
      <w:r>
        <w:rPr>
          <w:rFonts w:hint="eastAsia"/>
          <w:sz w:val="24"/>
          <w:szCs w:val="24"/>
        </w:rPr>
        <w:t>录像检索精确度达到秒级</w:t>
      </w:r>
    </w:p>
    <w:p>
      <w:pPr>
        <w:spacing w:line="360" w:lineRule="auto"/>
        <w:ind w:firstLine="480" w:firstLineChars="200"/>
        <w:rPr>
          <w:sz w:val="24"/>
          <w:szCs w:val="24"/>
        </w:rPr>
      </w:pPr>
      <w:r>
        <w:rPr>
          <w:rFonts w:hint="eastAsia"/>
          <w:sz w:val="24"/>
          <w:szCs w:val="24"/>
        </w:rPr>
        <w:t>文件播放器可进行本地文件播放，并支持支持暂停、拖动播放、快放（2、4、8倍数）、慢放（1/2、1/4、1/8倍数）；单帧播放；精准定位到某一帧；AB段循环播放；视频增强（至少包括去雾、增强、去噪、锐化、去块滤波、色彩平衡、镜头畸变、色彩调节等），支持对录像的剪辑、抓图、连拍；支持视频转码成标准MP4和Avi格式文件</w:t>
      </w:r>
    </w:p>
    <w:p>
      <w:pPr>
        <w:spacing w:line="360" w:lineRule="auto"/>
        <w:ind w:firstLine="480" w:firstLineChars="200"/>
        <w:rPr>
          <w:sz w:val="24"/>
          <w:szCs w:val="24"/>
        </w:rPr>
      </w:pPr>
      <w:r>
        <w:rPr>
          <w:rFonts w:hint="eastAsia"/>
          <w:sz w:val="24"/>
          <w:szCs w:val="24"/>
        </w:rPr>
        <w:t>支持录像编辑。文件编辑器支持对视频文件视频播放，视频剪辑，视频合并，抓图，文件移动，跟踪特技，文本特技。</w:t>
      </w:r>
    </w:p>
    <w:p>
      <w:pPr>
        <w:spacing w:line="360" w:lineRule="auto"/>
        <w:ind w:firstLine="480" w:firstLineChars="200"/>
        <w:rPr>
          <w:sz w:val="24"/>
          <w:szCs w:val="24"/>
        </w:rPr>
      </w:pPr>
      <w:r>
        <w:rPr>
          <w:rFonts w:hint="eastAsia"/>
          <w:sz w:val="24"/>
          <w:szCs w:val="24"/>
        </w:rPr>
        <w:t>支持大屏拼接、画面分割、画面开窗、画面漫游、轮巡、场景切换功能</w:t>
      </w:r>
    </w:p>
    <w:p>
      <w:pPr>
        <w:spacing w:line="360" w:lineRule="auto"/>
        <w:ind w:firstLine="480" w:firstLineChars="200"/>
        <w:rPr>
          <w:sz w:val="24"/>
          <w:szCs w:val="24"/>
        </w:rPr>
      </w:pPr>
      <w:r>
        <w:rPr>
          <w:rFonts w:hint="eastAsia"/>
          <w:sz w:val="24"/>
          <w:szCs w:val="24"/>
        </w:rPr>
        <w:t>支持回放图像上墙</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支持监控点、报警点、门禁点、停车场、出入口、盲点的添加及显示</w:t>
      </w:r>
    </w:p>
    <w:p>
      <w:pPr>
        <w:spacing w:line="360" w:lineRule="auto"/>
        <w:ind w:firstLine="480" w:firstLineChars="200"/>
        <w:rPr>
          <w:sz w:val="24"/>
          <w:szCs w:val="24"/>
        </w:rPr>
      </w:pPr>
      <w:r>
        <w:rPr>
          <w:rFonts w:hint="eastAsia"/>
          <w:sz w:val="24"/>
          <w:szCs w:val="24"/>
        </w:rPr>
        <w:t>支持线框选，圈选，线选穿过摄像头照射区域选中监控点快捷操作预览、上墙、回放</w:t>
      </w:r>
    </w:p>
    <w:p>
      <w:pPr>
        <w:spacing w:line="360" w:lineRule="auto"/>
        <w:ind w:firstLine="480" w:firstLineChars="200"/>
        <w:rPr>
          <w:sz w:val="24"/>
          <w:szCs w:val="24"/>
        </w:rPr>
      </w:pPr>
      <w:r>
        <w:rPr>
          <w:rFonts w:hint="eastAsia"/>
          <w:sz w:val="24"/>
          <w:szCs w:val="24"/>
        </w:rPr>
        <w:t>支持监控点的近三和近八预览，网格人员跟踪</w:t>
      </w:r>
    </w:p>
    <w:p>
      <w:pPr>
        <w:spacing w:line="360" w:lineRule="auto"/>
        <w:ind w:firstLine="480" w:firstLineChars="200"/>
        <w:rPr>
          <w:sz w:val="24"/>
          <w:szCs w:val="24"/>
        </w:rPr>
      </w:pPr>
      <w:r>
        <w:rPr>
          <w:rFonts w:hint="eastAsia"/>
          <w:sz w:val="24"/>
          <w:szCs w:val="24"/>
        </w:rPr>
        <w:t>支持监控点、报警点、出入口和门禁声音和闪烁报警</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支持地图标示案情事件多发区，能显示多发区的严重等级（四级）网格区域的添加及显示</w:t>
      </w:r>
    </w:p>
    <w:p>
      <w:pPr>
        <w:spacing w:line="360" w:lineRule="auto"/>
        <w:ind w:firstLine="480" w:firstLineChars="200"/>
        <w:rPr>
          <w:sz w:val="24"/>
          <w:szCs w:val="24"/>
        </w:rPr>
      </w:pPr>
      <w:r>
        <w:rPr>
          <w:rFonts w:hint="eastAsia"/>
          <w:sz w:val="24"/>
          <w:szCs w:val="24"/>
        </w:rPr>
        <w:t>支持地图标识网格区域，标识责任人姓名和电话号码</w:t>
      </w:r>
    </w:p>
    <w:p>
      <w:pPr>
        <w:spacing w:line="360" w:lineRule="auto"/>
        <w:ind w:firstLine="480" w:firstLineChars="200"/>
        <w:rPr>
          <w:sz w:val="24"/>
          <w:szCs w:val="24"/>
        </w:rPr>
      </w:pPr>
      <w:r>
        <w:rPr>
          <w:rFonts w:hint="eastAsia"/>
          <w:sz w:val="24"/>
          <w:szCs w:val="24"/>
        </w:rPr>
        <w:t>支持图层控制显示地图资源分类显示</w:t>
      </w:r>
    </w:p>
    <w:p>
      <w:pPr>
        <w:spacing w:line="360" w:lineRule="auto"/>
        <w:ind w:firstLine="480" w:firstLineChars="200"/>
        <w:rPr>
          <w:sz w:val="24"/>
          <w:szCs w:val="24"/>
        </w:rPr>
      </w:pPr>
      <w:r>
        <w:rPr>
          <w:rFonts w:hint="eastAsia"/>
          <w:sz w:val="24"/>
          <w:szCs w:val="24"/>
        </w:rPr>
        <w:t>支持关键字、位置全图资源模糊查询</w:t>
      </w:r>
    </w:p>
    <w:p>
      <w:pPr>
        <w:spacing w:line="360" w:lineRule="auto"/>
        <w:ind w:firstLine="480" w:firstLineChars="200"/>
        <w:rPr>
          <w:sz w:val="24"/>
          <w:szCs w:val="24"/>
        </w:rPr>
      </w:pPr>
      <w:r>
        <w:rPr>
          <w:rFonts w:hint="eastAsia"/>
          <w:sz w:val="24"/>
          <w:szCs w:val="24"/>
        </w:rPr>
        <w:t>支持一键报警柱在地图显示，报警闪烁，支持可视对讲</w:t>
      </w:r>
    </w:p>
    <w:p>
      <w:pPr>
        <w:spacing w:line="360" w:lineRule="auto"/>
        <w:ind w:firstLine="480" w:firstLineChars="200"/>
        <w:rPr>
          <w:sz w:val="24"/>
          <w:szCs w:val="24"/>
        </w:rPr>
      </w:pPr>
      <w:r>
        <w:rPr>
          <w:rFonts w:hint="eastAsia"/>
          <w:sz w:val="24"/>
          <w:szCs w:val="24"/>
        </w:rPr>
        <w:t>系统应支持监控点覆盖范围可视域管控，可根据云台转动动态获取监控方向及覆盖范围</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支持2.5D校园全景地图；支持高德在线/离线，谷歌在线/离线；最大图元数不小于10万；支持视频巡逻；支持电子围栏功能；地图响应速度不大于1秒；</w:t>
      </w:r>
    </w:p>
    <w:p>
      <w:pPr>
        <w:spacing w:line="360" w:lineRule="auto"/>
        <w:ind w:firstLine="480" w:firstLineChars="200"/>
        <w:rPr>
          <w:sz w:val="24"/>
          <w:szCs w:val="24"/>
        </w:rPr>
      </w:pPr>
      <w:r>
        <w:rPr>
          <w:rFonts w:hint="eastAsia"/>
          <w:sz w:val="24"/>
          <w:szCs w:val="24"/>
        </w:rPr>
        <w:t>支持黑名单、开门延时等门禁事件报警联动，报警应自动关联报警预案</w:t>
      </w:r>
    </w:p>
    <w:p>
      <w:pPr>
        <w:spacing w:line="360" w:lineRule="auto"/>
        <w:ind w:firstLine="480" w:firstLineChars="200"/>
        <w:rPr>
          <w:sz w:val="24"/>
          <w:szCs w:val="24"/>
        </w:rPr>
      </w:pPr>
      <w:r>
        <w:rPr>
          <w:rFonts w:hint="eastAsia"/>
          <w:sz w:val="24"/>
          <w:szCs w:val="24"/>
        </w:rPr>
        <w:t>支持门禁报警事件查询</w:t>
      </w:r>
    </w:p>
    <w:p>
      <w:pPr>
        <w:spacing w:line="360" w:lineRule="auto"/>
        <w:ind w:firstLine="480" w:firstLineChars="200"/>
        <w:rPr>
          <w:sz w:val="24"/>
          <w:szCs w:val="24"/>
        </w:rPr>
      </w:pPr>
      <w:r>
        <w:rPr>
          <w:rFonts w:hint="eastAsia"/>
          <w:sz w:val="24"/>
          <w:szCs w:val="24"/>
        </w:rPr>
        <w:t>支持手动获取当前门禁状态并支持远程开门、关门，</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支持车辆出入信息查询，可根据车牌号查询指定时间内出入信息</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支持车辆黑名单报警功能</w:t>
      </w:r>
    </w:p>
    <w:p>
      <w:pPr>
        <w:spacing w:line="360" w:lineRule="auto"/>
        <w:ind w:firstLine="480" w:firstLineChars="200"/>
        <w:rPr>
          <w:sz w:val="24"/>
          <w:szCs w:val="24"/>
        </w:rPr>
      </w:pPr>
      <w:r>
        <w:rPr>
          <w:rFonts w:hint="eastAsia"/>
          <w:sz w:val="24"/>
          <w:szCs w:val="24"/>
        </w:rPr>
        <w:t>支持停车场剩余车位查询功能</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支持卡口根据车辆车型，车标，车牌，车身颜色和车速查询过车图片</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支持人脸识别</w:t>
      </w:r>
    </w:p>
    <w:p>
      <w:pPr>
        <w:spacing w:line="360" w:lineRule="auto"/>
        <w:ind w:firstLine="480" w:firstLineChars="200"/>
        <w:rPr>
          <w:sz w:val="24"/>
          <w:szCs w:val="24"/>
        </w:rPr>
      </w:pPr>
      <w:r>
        <w:rPr>
          <w:rFonts w:hint="eastAsia"/>
          <w:sz w:val="24"/>
          <w:szCs w:val="24"/>
        </w:rPr>
        <w:t>支持出入口客流统计，显示人员进出数据和报表统计信息</w:t>
      </w:r>
    </w:p>
    <w:p>
      <w:pPr>
        <w:spacing w:line="360" w:lineRule="auto"/>
        <w:ind w:firstLine="480" w:firstLineChars="200"/>
        <w:rPr>
          <w:sz w:val="24"/>
          <w:szCs w:val="24"/>
        </w:rPr>
      </w:pPr>
      <w:r>
        <w:rPr>
          <w:rFonts w:hint="eastAsia"/>
          <w:sz w:val="24"/>
          <w:szCs w:val="24"/>
        </w:rPr>
        <w:t>支持进入区域、离开区域、穿越警戒线、徘徊周界防范功能</w:t>
      </w:r>
    </w:p>
    <w:p>
      <w:pPr>
        <w:spacing w:line="360" w:lineRule="auto"/>
        <w:ind w:firstLine="480" w:firstLineChars="200"/>
        <w:rPr>
          <w:sz w:val="24"/>
          <w:szCs w:val="24"/>
        </w:rPr>
      </w:pPr>
      <w:r>
        <w:rPr>
          <w:rFonts w:hint="eastAsia"/>
          <w:sz w:val="24"/>
          <w:szCs w:val="24"/>
        </w:rPr>
        <w:t>支持浓缩播放：对检索出来的事件录像进行正常播放或慢放，非事件录像进行快放。</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车牌比对：支持根据监控点、车牌号、时间范围来进行车牌比对检索</w:t>
      </w:r>
    </w:p>
    <w:p>
      <w:pPr>
        <w:spacing w:line="360" w:lineRule="auto"/>
        <w:ind w:firstLine="480" w:firstLineChars="200"/>
        <w:rPr>
          <w:sz w:val="24"/>
          <w:szCs w:val="24"/>
        </w:rPr>
      </w:pPr>
      <w:r>
        <w:rPr>
          <w:rFonts w:hint="eastAsia"/>
          <w:sz w:val="24"/>
          <w:szCs w:val="24"/>
        </w:rPr>
        <w:t>摘要播放：支持摘要播放某重点监控区域的录像文件，查看一段时间内的可疑事件和事件发生时间，并根据摘要短片中的某个事件直接链接播放可疑事件的原始录像</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支持Android、IOS操作系统的移动终端接</w:t>
      </w:r>
    </w:p>
    <w:p>
      <w:pPr>
        <w:spacing w:line="360" w:lineRule="auto"/>
        <w:ind w:firstLine="480" w:firstLineChars="200"/>
        <w:rPr>
          <w:sz w:val="24"/>
          <w:szCs w:val="24"/>
        </w:rPr>
      </w:pPr>
      <w:r>
        <w:rPr>
          <w:rFonts w:hint="eastAsia"/>
          <w:sz w:val="24"/>
          <w:szCs w:val="24"/>
        </w:rPr>
        <w:t>在移动终端上支持实时预览、录像回放、云台控制、报警等功能</w:t>
      </w:r>
    </w:p>
    <w:p>
      <w:pPr>
        <w:spacing w:line="360" w:lineRule="auto"/>
        <w:ind w:firstLine="480" w:firstLineChars="200"/>
        <w:rPr>
          <w:sz w:val="24"/>
          <w:szCs w:val="24"/>
        </w:rPr>
      </w:pPr>
      <w:r>
        <w:rPr>
          <w:rFonts w:hint="eastAsia"/>
          <w:sz w:val="24"/>
          <w:szCs w:val="24"/>
        </w:rPr>
        <w:t>支持案件管理并支持电子地图标记事件发生地点</w:t>
      </w:r>
    </w:p>
    <w:p>
      <w:pPr>
        <w:spacing w:line="360" w:lineRule="auto"/>
        <w:ind w:firstLine="480" w:firstLineChars="200"/>
        <w:rPr>
          <w:sz w:val="24"/>
          <w:szCs w:val="24"/>
        </w:rPr>
      </w:pPr>
      <w:r>
        <w:rPr>
          <w:rFonts w:hint="eastAsia"/>
          <w:sz w:val="24"/>
          <w:szCs w:val="24"/>
        </w:rPr>
        <w:t>支持案件关联预案、预案执行响应及上传处理结果</w:t>
      </w:r>
    </w:p>
    <w:p>
      <w:pPr>
        <w:spacing w:line="360" w:lineRule="auto"/>
        <w:ind w:firstLine="480" w:firstLineChars="200"/>
        <w:rPr>
          <w:sz w:val="24"/>
          <w:szCs w:val="24"/>
        </w:rPr>
      </w:pPr>
      <w:r>
        <w:rPr>
          <w:rFonts w:hint="eastAsia"/>
          <w:sz w:val="24"/>
          <w:szCs w:val="24"/>
        </w:rPr>
        <w:t>支持根据时间段查询案件详细信息</w:t>
      </w:r>
    </w:p>
    <w:p>
      <w:pPr>
        <w:spacing w:line="360" w:lineRule="auto"/>
        <w:ind w:firstLine="480" w:firstLineChars="200"/>
        <w:rPr>
          <w:sz w:val="24"/>
          <w:szCs w:val="24"/>
        </w:rPr>
      </w:pPr>
      <w:r>
        <w:rPr>
          <w:rFonts w:hint="eastAsia"/>
          <w:sz w:val="24"/>
          <w:szCs w:val="24"/>
        </w:rPr>
        <w:t>预案支持联动预置点、本地客户端、上墙、出入口、短信和I/O输出</w:t>
      </w:r>
    </w:p>
    <w:p>
      <w:pPr>
        <w:spacing w:line="360" w:lineRule="auto"/>
        <w:ind w:firstLine="480" w:firstLineChars="200"/>
        <w:rPr>
          <w:sz w:val="24"/>
          <w:szCs w:val="24"/>
        </w:rPr>
      </w:pPr>
      <w:r>
        <w:rPr>
          <w:rFonts w:hint="eastAsia"/>
          <w:sz w:val="24"/>
          <w:szCs w:val="24"/>
        </w:rPr>
        <w:t>支持手动执行预案</w:t>
      </w:r>
    </w:p>
    <w:p>
      <w:pPr>
        <w:spacing w:line="360" w:lineRule="auto"/>
        <w:ind w:firstLine="480" w:firstLineChars="200"/>
        <w:rPr>
          <w:sz w:val="24"/>
          <w:szCs w:val="24"/>
        </w:rPr>
      </w:pPr>
      <w:r>
        <w:rPr>
          <w:rFonts w:hint="eastAsia"/>
          <w:sz w:val="24"/>
          <w:szCs w:val="24"/>
        </w:rPr>
        <w:t>支持人员管理、通讯录管理、重大活动管理、应急资源管理</w:t>
      </w:r>
    </w:p>
    <w:p>
      <w:pPr>
        <w:spacing w:line="360" w:lineRule="auto"/>
        <w:ind w:firstLine="480" w:firstLineChars="200"/>
        <w:rPr>
          <w:sz w:val="24"/>
          <w:szCs w:val="24"/>
        </w:rPr>
      </w:pPr>
      <w:r>
        <w:rPr>
          <w:rFonts w:hint="eastAsia"/>
          <w:sz w:val="24"/>
          <w:szCs w:val="24"/>
        </w:rPr>
        <w:t>支持资产管理，对资产进行维修和报废处理，显示维修历史记录和维修统计信息</w:t>
      </w:r>
    </w:p>
    <w:p>
      <w:pPr>
        <w:spacing w:line="360" w:lineRule="auto"/>
        <w:ind w:firstLine="480" w:firstLineChars="200"/>
        <w:rPr>
          <w:sz w:val="24"/>
          <w:szCs w:val="24"/>
        </w:rPr>
      </w:pPr>
      <w:r>
        <w:rPr>
          <w:rFonts w:hint="eastAsia"/>
          <w:sz w:val="24"/>
          <w:szCs w:val="24"/>
        </w:rPr>
        <w:t>支持户籍的管理，户籍的外借与归还流程管理；支持外借历史查询</w:t>
      </w:r>
    </w:p>
    <w:p>
      <w:pPr>
        <w:spacing w:line="360" w:lineRule="auto"/>
        <w:ind w:firstLine="480" w:firstLineChars="200"/>
        <w:rPr>
          <w:sz w:val="24"/>
          <w:szCs w:val="24"/>
        </w:rPr>
      </w:pPr>
      <w:r>
        <w:rPr>
          <w:rFonts w:hint="eastAsia"/>
          <w:sz w:val="24"/>
          <w:szCs w:val="24"/>
        </w:rPr>
        <w:t>平台支持设置值班任务</w:t>
      </w:r>
    </w:p>
    <w:p>
      <w:pPr>
        <w:spacing w:line="360" w:lineRule="auto"/>
        <w:ind w:firstLine="480" w:firstLineChars="200"/>
        <w:rPr>
          <w:sz w:val="24"/>
          <w:szCs w:val="24"/>
        </w:rPr>
      </w:pPr>
      <w:r>
        <w:rPr>
          <w:rFonts w:hint="eastAsia"/>
          <w:sz w:val="24"/>
          <w:szCs w:val="24"/>
        </w:rPr>
        <w:t>手持终端上可以接收巡更任务</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手持终端支持二维码扫描巡更，支持上传图片，视频，音频到系统平台</w:t>
      </w:r>
    </w:p>
    <w:p>
      <w:pPr>
        <w:spacing w:line="360" w:lineRule="auto"/>
        <w:ind w:firstLine="480" w:firstLineChars="200"/>
        <w:rPr>
          <w:sz w:val="24"/>
          <w:szCs w:val="24"/>
        </w:rPr>
      </w:pPr>
      <w:r>
        <w:rPr>
          <w:rFonts w:hint="eastAsia" w:asciiTheme="minorEastAsia" w:hAnsiTheme="minorEastAsia" w:eastAsiaTheme="minorEastAsia"/>
          <w:sz w:val="24"/>
          <w:szCs w:val="24"/>
        </w:rPr>
        <w:t>★</w:t>
      </w:r>
      <w:r>
        <w:rPr>
          <w:rFonts w:hint="eastAsia"/>
          <w:sz w:val="24"/>
          <w:szCs w:val="24"/>
        </w:rPr>
        <w:t>单兵支持查询人员信息和车辆信息</w:t>
      </w:r>
    </w:p>
    <w:p>
      <w:pPr>
        <w:spacing w:line="360" w:lineRule="auto"/>
        <w:ind w:firstLine="480" w:firstLineChars="200"/>
        <w:rPr>
          <w:sz w:val="24"/>
          <w:szCs w:val="24"/>
        </w:rPr>
      </w:pPr>
      <w:r>
        <w:rPr>
          <w:rFonts w:hint="eastAsia"/>
          <w:sz w:val="24"/>
          <w:szCs w:val="24"/>
        </w:rPr>
        <w:t>地图上支持显示巡更人员轨迹</w:t>
      </w:r>
    </w:p>
    <w:p>
      <w:pPr>
        <w:spacing w:line="360" w:lineRule="auto"/>
        <w:ind w:firstLine="480" w:firstLineChars="200"/>
        <w:rPr>
          <w:sz w:val="24"/>
          <w:szCs w:val="24"/>
        </w:rPr>
      </w:pPr>
      <w:r>
        <w:rPr>
          <w:rFonts w:hint="eastAsia"/>
          <w:sz w:val="24"/>
          <w:szCs w:val="24"/>
        </w:rPr>
        <w:t>支持值班人员的交接班管理</w:t>
      </w:r>
    </w:p>
    <w:p>
      <w:pPr>
        <w:spacing w:line="360" w:lineRule="auto"/>
        <w:ind w:firstLine="480" w:firstLineChars="200"/>
        <w:rPr>
          <w:sz w:val="24"/>
          <w:szCs w:val="24"/>
        </w:rPr>
      </w:pPr>
      <w:r>
        <w:rPr>
          <w:rFonts w:hint="eastAsia"/>
          <w:sz w:val="24"/>
          <w:szCs w:val="24"/>
        </w:rPr>
        <w:t>支持对考场监控点设置计划任务，计划录像数据直接写入用户接入电脑磁盘。</w:t>
      </w:r>
    </w:p>
    <w:p>
      <w:pPr>
        <w:spacing w:line="360" w:lineRule="auto"/>
        <w:ind w:firstLine="480" w:firstLineChars="200"/>
        <w:rPr>
          <w:sz w:val="24"/>
          <w:szCs w:val="24"/>
        </w:rPr>
      </w:pPr>
      <w:r>
        <w:rPr>
          <w:rFonts w:hint="eastAsia"/>
          <w:sz w:val="24"/>
          <w:szCs w:val="24"/>
        </w:rPr>
        <w:t>支持设备在线状态、服务器异常状态的显示、查询和统计功能</w:t>
      </w:r>
    </w:p>
    <w:p>
      <w:pPr>
        <w:spacing w:line="360" w:lineRule="auto"/>
        <w:ind w:firstLine="480" w:firstLineChars="200"/>
        <w:rPr>
          <w:sz w:val="24"/>
          <w:szCs w:val="24"/>
        </w:rPr>
      </w:pPr>
      <w:r>
        <w:rPr>
          <w:rFonts w:hint="eastAsia"/>
          <w:sz w:val="24"/>
          <w:szCs w:val="24"/>
        </w:rPr>
        <w:t>支持视频质量诊断（支持检测雪花干扰/视频丢失/图像模糊/条纹干扰/亮度异常/偏色异常/画面冻结等）</w:t>
      </w:r>
    </w:p>
    <w:p>
      <w:pPr>
        <w:spacing w:line="360" w:lineRule="auto"/>
        <w:ind w:firstLine="480" w:firstLineChars="200"/>
        <w:rPr>
          <w:sz w:val="24"/>
          <w:szCs w:val="24"/>
        </w:rPr>
      </w:pPr>
      <w:r>
        <w:rPr>
          <w:rFonts w:hint="eastAsia"/>
          <w:sz w:val="24"/>
          <w:szCs w:val="24"/>
        </w:rPr>
        <w:t>支持监控点视频图像质量及录像状态的显示、查询和统计功能（以最小5分钟的精度进行录像完整性检查）</w:t>
      </w:r>
    </w:p>
    <w:p>
      <w:pPr>
        <w:spacing w:line="360" w:lineRule="auto"/>
        <w:ind w:firstLine="480" w:firstLineChars="200"/>
        <w:rPr>
          <w:sz w:val="24"/>
          <w:szCs w:val="24"/>
        </w:rPr>
      </w:pPr>
      <w:r>
        <w:rPr>
          <w:rFonts w:hint="eastAsia"/>
          <w:sz w:val="24"/>
          <w:szCs w:val="24"/>
        </w:rPr>
        <w:t>客户端支持一机多屏，不通的屏幕显示告警中心，电视墙，客流量等模块。支持屏幕间的交互操作</w:t>
      </w:r>
    </w:p>
    <w:p>
      <w:pPr>
        <w:spacing w:line="360" w:lineRule="auto"/>
        <w:ind w:firstLine="480" w:firstLineChars="200"/>
        <w:rPr>
          <w:sz w:val="24"/>
          <w:szCs w:val="24"/>
        </w:rPr>
      </w:pPr>
      <w:r>
        <w:rPr>
          <w:rFonts w:hint="eastAsia"/>
          <w:sz w:val="24"/>
          <w:szCs w:val="24"/>
        </w:rPr>
        <w:t>支持双网卡方案跨网络配置服务器配置</w:t>
      </w:r>
    </w:p>
    <w:p>
      <w:pPr>
        <w:spacing w:line="360" w:lineRule="auto"/>
        <w:ind w:firstLine="480" w:firstLineChars="200"/>
        <w:rPr>
          <w:sz w:val="24"/>
          <w:szCs w:val="24"/>
        </w:rPr>
      </w:pPr>
      <w:r>
        <w:rPr>
          <w:rFonts w:hint="eastAsia"/>
          <w:sz w:val="24"/>
          <w:szCs w:val="24"/>
        </w:rPr>
        <w:t>支持用户间传递文字，图片，语音，录像</w:t>
      </w:r>
    </w:p>
    <w:p>
      <w:pPr>
        <w:spacing w:line="360" w:lineRule="auto"/>
        <w:ind w:firstLine="480" w:firstLineChars="200"/>
        <w:rPr>
          <w:sz w:val="24"/>
          <w:szCs w:val="24"/>
        </w:rPr>
      </w:pPr>
      <w:r>
        <w:rPr>
          <w:rFonts w:hint="eastAsia"/>
          <w:sz w:val="24"/>
          <w:szCs w:val="24"/>
        </w:rPr>
        <w:t>支持多方视频通话</w:t>
      </w:r>
    </w:p>
    <w:p>
      <w:pPr>
        <w:spacing w:line="360" w:lineRule="auto"/>
        <w:ind w:firstLine="480" w:firstLineChars="200"/>
        <w:rPr>
          <w:sz w:val="24"/>
          <w:szCs w:val="24"/>
        </w:rPr>
      </w:pPr>
      <w:r>
        <w:rPr>
          <w:rFonts w:hint="eastAsia"/>
          <w:sz w:val="24"/>
          <w:szCs w:val="24"/>
        </w:rPr>
        <w:t>支持将指挥中心的电脑桌面作为视频源分享给终端</w:t>
      </w:r>
    </w:p>
    <w:p>
      <w:pPr>
        <w:spacing w:line="360" w:lineRule="auto"/>
        <w:ind w:firstLine="480" w:firstLineChars="200"/>
        <w:rPr>
          <w:sz w:val="24"/>
          <w:szCs w:val="24"/>
        </w:rPr>
      </w:pPr>
      <w:r>
        <w:rPr>
          <w:rFonts w:hint="eastAsia"/>
          <w:sz w:val="24"/>
          <w:szCs w:val="24"/>
        </w:rPr>
        <w:t>流媒体抢占的干线管理；支持流媒体集群及负载均衡</w:t>
      </w:r>
    </w:p>
    <w:p>
      <w:pPr>
        <w:spacing w:line="360" w:lineRule="auto"/>
        <w:ind w:firstLine="480" w:firstLineChars="200"/>
        <w:rPr>
          <w:sz w:val="24"/>
          <w:szCs w:val="24"/>
        </w:rPr>
      </w:pPr>
      <w:r>
        <w:rPr>
          <w:rFonts w:hint="eastAsia"/>
          <w:sz w:val="24"/>
          <w:szCs w:val="24"/>
        </w:rPr>
        <w:t>园区、单位等场合访客的信息登记、操作记录与权限管理。</w:t>
      </w:r>
    </w:p>
    <w:p>
      <w:pPr>
        <w:spacing w:line="360" w:lineRule="auto"/>
        <w:ind w:firstLine="480" w:firstLineChars="200"/>
        <w:rPr>
          <w:sz w:val="24"/>
          <w:szCs w:val="24"/>
        </w:rPr>
      </w:pPr>
      <w:r>
        <w:rPr>
          <w:rFonts w:hint="eastAsia"/>
          <w:sz w:val="24"/>
          <w:szCs w:val="24"/>
        </w:rPr>
        <w:t>支持对刷卡记录及考勤结果查询</w:t>
      </w:r>
    </w:p>
    <w:p>
      <w:pPr>
        <w:spacing w:line="360" w:lineRule="auto"/>
        <w:ind w:firstLine="480" w:firstLineChars="200"/>
        <w:rPr>
          <w:sz w:val="24"/>
          <w:szCs w:val="24"/>
        </w:rPr>
      </w:pPr>
      <w:r>
        <w:rPr>
          <w:rFonts w:hint="eastAsia"/>
          <w:sz w:val="24"/>
          <w:szCs w:val="24"/>
        </w:rPr>
        <w:t>N+M，M&gt;=1容灾备份（ROSE方案）</w:t>
      </w:r>
    </w:p>
    <w:p>
      <w:pPr>
        <w:spacing w:line="360" w:lineRule="auto"/>
        <w:ind w:firstLine="480" w:firstLineChars="200"/>
        <w:rPr>
          <w:sz w:val="24"/>
          <w:szCs w:val="24"/>
        </w:rPr>
      </w:pPr>
      <w:r>
        <w:rPr>
          <w:rFonts w:hint="eastAsia"/>
          <w:sz w:val="24"/>
          <w:szCs w:val="24"/>
        </w:rPr>
        <w:t>支持直播，点播，导播</w:t>
      </w:r>
    </w:p>
    <w:p>
      <w:pPr>
        <w:spacing w:line="360" w:lineRule="auto"/>
        <w:ind w:firstLine="480" w:firstLineChars="200"/>
        <w:rPr>
          <w:sz w:val="24"/>
          <w:szCs w:val="24"/>
        </w:rPr>
      </w:pPr>
      <w:r>
        <w:rPr>
          <w:rFonts w:hint="eastAsia"/>
          <w:sz w:val="24"/>
          <w:szCs w:val="24"/>
        </w:rPr>
        <w:t>支持校园的车辆管理功能，车辆收费功能，支持卡口自动抓拍车牌，车牌抓拍结果自动入库。</w:t>
      </w:r>
    </w:p>
    <w:p>
      <w:pPr>
        <w:spacing w:line="360" w:lineRule="auto"/>
        <w:ind w:firstLine="480" w:firstLineChars="200"/>
        <w:rPr>
          <w:sz w:val="24"/>
          <w:szCs w:val="24"/>
        </w:rPr>
      </w:pPr>
      <w:r>
        <w:rPr>
          <w:rFonts w:hint="eastAsia"/>
          <w:sz w:val="24"/>
          <w:szCs w:val="24"/>
        </w:rPr>
        <w:t>支持报警主机，鱼眼摄像机，门禁，卡口设备接入</w:t>
      </w:r>
    </w:p>
    <w:p>
      <w:pPr>
        <w:spacing w:line="360" w:lineRule="auto"/>
        <w:ind w:firstLine="480" w:firstLineChars="200"/>
        <w:rPr>
          <w:sz w:val="24"/>
          <w:szCs w:val="24"/>
        </w:rPr>
      </w:pPr>
      <w:r>
        <w:rPr>
          <w:rFonts w:hint="eastAsia"/>
          <w:sz w:val="24"/>
          <w:szCs w:val="24"/>
        </w:rPr>
        <w:t>包括厨房内画面的实时预览和视频轮巡，支持手动抓拍并对图像进行标注，应支持食堂员工健康证图片的上传以及体温信息的记录</w:t>
      </w:r>
    </w:p>
    <w:p>
      <w:pPr>
        <w:spacing w:line="360" w:lineRule="auto"/>
        <w:ind w:firstLine="480" w:firstLineChars="200"/>
        <w:rPr>
          <w:sz w:val="24"/>
          <w:szCs w:val="24"/>
        </w:rPr>
      </w:pPr>
      <w:r>
        <w:rPr>
          <w:rFonts w:hint="eastAsia"/>
          <w:sz w:val="24"/>
          <w:szCs w:val="24"/>
        </w:rPr>
        <w:t>能够直接注册管理10万的设备资源；</w:t>
      </w:r>
    </w:p>
    <w:p>
      <w:pPr>
        <w:spacing w:line="360" w:lineRule="auto"/>
        <w:ind w:firstLine="480" w:firstLineChars="200"/>
        <w:rPr>
          <w:sz w:val="24"/>
          <w:szCs w:val="24"/>
        </w:rPr>
      </w:pPr>
      <w:r>
        <w:rPr>
          <w:rFonts w:hint="eastAsia"/>
          <w:sz w:val="24"/>
          <w:szCs w:val="24"/>
        </w:rPr>
        <w:t>支持5000用户同时在线；</w:t>
      </w:r>
    </w:p>
    <w:p>
      <w:pPr>
        <w:spacing w:line="360" w:lineRule="auto"/>
        <w:ind w:firstLine="480" w:firstLineChars="200"/>
        <w:rPr>
          <w:sz w:val="24"/>
          <w:szCs w:val="24"/>
        </w:rPr>
      </w:pPr>
      <w:r>
        <w:rPr>
          <w:rFonts w:hint="eastAsia"/>
          <w:sz w:val="24"/>
          <w:szCs w:val="24"/>
        </w:rPr>
        <w:t>支持100用户并发登录；</w:t>
      </w:r>
    </w:p>
    <w:p>
      <w:pPr>
        <w:spacing w:line="360" w:lineRule="auto"/>
        <w:ind w:firstLine="480" w:firstLineChars="200"/>
        <w:rPr>
          <w:sz w:val="24"/>
          <w:szCs w:val="24"/>
        </w:rPr>
      </w:pPr>
      <w:r>
        <w:rPr>
          <w:rFonts w:hint="eastAsia"/>
          <w:sz w:val="24"/>
          <w:szCs w:val="24"/>
        </w:rPr>
        <w:t>本域内，从发起取流到获得码流的时间不超过3秒</w:t>
      </w:r>
    </w:p>
    <w:p>
      <w:pPr>
        <w:spacing w:line="360" w:lineRule="auto"/>
        <w:ind w:firstLine="480" w:firstLineChars="200"/>
        <w:rPr>
          <w:sz w:val="24"/>
          <w:szCs w:val="24"/>
        </w:rPr>
      </w:pPr>
      <w:r>
        <w:rPr>
          <w:rFonts w:hint="eastAsia"/>
          <w:sz w:val="24"/>
          <w:szCs w:val="24"/>
        </w:rPr>
        <w:t>支持最小帧率1帧/秒</w:t>
      </w:r>
    </w:p>
    <w:p>
      <w:pPr>
        <w:spacing w:line="360" w:lineRule="auto"/>
        <w:ind w:firstLine="480" w:firstLineChars="200"/>
        <w:rPr>
          <w:sz w:val="24"/>
          <w:szCs w:val="24"/>
        </w:rPr>
      </w:pPr>
      <w:r>
        <w:rPr>
          <w:rFonts w:hint="eastAsia"/>
          <w:sz w:val="24"/>
          <w:szCs w:val="24"/>
        </w:rPr>
        <w:t>每个客户端最多最多打开4个预览分屏，每个分屏同时执行一个预案</w:t>
      </w:r>
    </w:p>
    <w:p>
      <w:pPr>
        <w:spacing w:line="360" w:lineRule="auto"/>
        <w:ind w:firstLine="480" w:firstLineChars="200"/>
        <w:rPr>
          <w:sz w:val="24"/>
          <w:szCs w:val="24"/>
        </w:rPr>
      </w:pPr>
      <w:r>
        <w:rPr>
          <w:rFonts w:hint="eastAsia"/>
          <w:sz w:val="24"/>
          <w:szCs w:val="24"/>
        </w:rPr>
        <w:t>能支持网络抗丢包功能，在UDP网络下单播和组播支持抗5%的丢包</w:t>
      </w:r>
    </w:p>
    <w:p>
      <w:pPr>
        <w:spacing w:line="360" w:lineRule="auto"/>
        <w:ind w:firstLine="480" w:firstLineChars="200"/>
        <w:rPr>
          <w:rFonts w:asciiTheme="minorEastAsia" w:hAnsiTheme="minorEastAsia" w:eastAsiaTheme="minorEastAsia"/>
          <w:sz w:val="24"/>
          <w:szCs w:val="24"/>
        </w:rPr>
      </w:pPr>
      <w:r>
        <w:rPr>
          <w:rFonts w:hint="eastAsia"/>
          <w:sz w:val="24"/>
          <w:szCs w:val="24"/>
        </w:rPr>
        <w:t>平台支持linux系统安装</w:t>
      </w:r>
    </w:p>
    <w:p/>
    <w:p>
      <w:pPr>
        <w:pStyle w:val="2"/>
        <w:numPr>
          <w:ilvl w:val="0"/>
          <w:numId w:val="2"/>
        </w:numPr>
        <w:spacing w:before="0" w:after="0" w:line="360" w:lineRule="auto"/>
        <w:rPr>
          <w:rFonts w:hAnsi="宋体"/>
          <w:sz w:val="32"/>
          <w:szCs w:val="32"/>
        </w:rPr>
      </w:pPr>
      <w:bookmarkStart w:id="82" w:name="_Toc25660"/>
      <w:r>
        <w:rPr>
          <w:rFonts w:hint="eastAsia" w:hAnsi="宋体"/>
          <w:sz w:val="32"/>
          <w:szCs w:val="32"/>
        </w:rPr>
        <w:t>设备采购清单</w:t>
      </w:r>
      <w:bookmarkEnd w:id="82"/>
    </w:p>
    <w:tbl>
      <w:tblPr>
        <w:tblStyle w:val="45"/>
        <w:tblpPr w:leftFromText="180" w:rightFromText="180" w:vertAnchor="text" w:horzAnchor="page" w:tblpX="1659" w:tblpY="1446"/>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942"/>
        <w:gridCol w:w="1293"/>
        <w:gridCol w:w="3071"/>
        <w:gridCol w:w="15"/>
        <w:gridCol w:w="780"/>
        <w:gridCol w:w="15"/>
        <w:gridCol w:w="612"/>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序号</w:t>
            </w:r>
          </w:p>
        </w:tc>
        <w:tc>
          <w:tcPr>
            <w:tcW w:w="1942" w:type="dxa"/>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设备名称</w:t>
            </w:r>
          </w:p>
        </w:tc>
        <w:tc>
          <w:tcPr>
            <w:tcW w:w="1293" w:type="dxa"/>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推荐品牌</w:t>
            </w:r>
          </w:p>
        </w:tc>
        <w:tc>
          <w:tcPr>
            <w:tcW w:w="3071" w:type="dxa"/>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规格</w:t>
            </w:r>
          </w:p>
        </w:tc>
        <w:tc>
          <w:tcPr>
            <w:tcW w:w="795" w:type="dxa"/>
            <w:gridSpan w:val="2"/>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单位</w:t>
            </w:r>
          </w:p>
        </w:tc>
        <w:tc>
          <w:tcPr>
            <w:tcW w:w="627" w:type="dxa"/>
            <w:gridSpan w:val="2"/>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数量</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一</w:t>
            </w:r>
          </w:p>
        </w:tc>
        <w:tc>
          <w:tcPr>
            <w:tcW w:w="8281" w:type="dxa"/>
            <w:gridSpan w:val="8"/>
            <w:shd w:val="clear" w:color="auto" w:fill="auto"/>
            <w:vAlign w:val="center"/>
          </w:tcPr>
          <w:p>
            <w:pPr>
              <w:widowControl/>
              <w:rPr>
                <w:rFonts w:hAnsi="宋体" w:cs="宋体"/>
                <w:b/>
                <w:bCs/>
                <w:sz w:val="21"/>
                <w:szCs w:val="21"/>
              </w:rPr>
            </w:pPr>
            <w:r>
              <w:rPr>
                <w:rFonts w:hint="eastAsia" w:hAnsi="宋体" w:cs="宋体"/>
                <w:b/>
                <w:bCs/>
                <w:sz w:val="21"/>
                <w:szCs w:val="21"/>
              </w:rPr>
              <w:t>监控中心大屏显示系统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46寸拼接屏显示单元</w:t>
            </w:r>
          </w:p>
        </w:tc>
        <w:tc>
          <w:tcPr>
            <w:tcW w:w="129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071" w:type="dxa"/>
            <w:shd w:val="clear" w:color="auto" w:fill="auto"/>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95"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27"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9</w:t>
            </w:r>
          </w:p>
        </w:tc>
        <w:tc>
          <w:tcPr>
            <w:tcW w:w="55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2</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10路高清解码器</w:t>
            </w:r>
          </w:p>
        </w:tc>
        <w:tc>
          <w:tcPr>
            <w:tcW w:w="129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海康威视，浙江大华，宇视</w:t>
            </w:r>
          </w:p>
        </w:tc>
        <w:tc>
          <w:tcPr>
            <w:tcW w:w="3071" w:type="dxa"/>
            <w:shd w:val="clear" w:color="auto" w:fill="auto"/>
            <w:vAlign w:val="center"/>
          </w:tcPr>
          <w:p>
            <w:pPr>
              <w:widowControl/>
              <w:rPr>
                <w:rFonts w:hAnsi="宋体" w:cs="宋体"/>
                <w:color w:val="000000"/>
                <w:sz w:val="21"/>
                <w:szCs w:val="21"/>
              </w:rPr>
            </w:pPr>
            <w:r>
              <w:rPr>
                <w:rFonts w:hint="eastAsia" w:hAnsi="宋体" w:cs="宋体"/>
                <w:color w:val="000000"/>
                <w:sz w:val="21"/>
                <w:szCs w:val="21"/>
              </w:rPr>
              <w:t>详见主要设备技术参数</w:t>
            </w:r>
          </w:p>
        </w:tc>
        <w:tc>
          <w:tcPr>
            <w:tcW w:w="795"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27"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55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3</w:t>
            </w:r>
          </w:p>
        </w:tc>
        <w:tc>
          <w:tcPr>
            <w:tcW w:w="1942" w:type="dxa"/>
            <w:shd w:val="clear" w:color="auto" w:fill="auto"/>
            <w:vAlign w:val="center"/>
          </w:tcPr>
          <w:p>
            <w:pPr>
              <w:widowControl/>
              <w:rPr>
                <w:rFonts w:hAnsi="宋体" w:cs="宋体"/>
                <w:color w:val="000000"/>
                <w:sz w:val="21"/>
                <w:szCs w:val="21"/>
              </w:rPr>
            </w:pPr>
            <w:r>
              <w:rPr>
                <w:rFonts w:hint="eastAsia" w:hAnsi="宋体" w:cs="宋体"/>
                <w:color w:val="000000"/>
                <w:sz w:val="21"/>
                <w:szCs w:val="21"/>
              </w:rPr>
              <w:t>特种线缆</w:t>
            </w:r>
          </w:p>
        </w:tc>
        <w:tc>
          <w:tcPr>
            <w:tcW w:w="129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定制</w:t>
            </w:r>
          </w:p>
        </w:tc>
        <w:tc>
          <w:tcPr>
            <w:tcW w:w="3071" w:type="dxa"/>
            <w:shd w:val="clear" w:color="auto" w:fill="auto"/>
            <w:vAlign w:val="center"/>
          </w:tcPr>
          <w:p>
            <w:pPr>
              <w:widowControl/>
              <w:rPr>
                <w:rFonts w:hAnsi="宋体" w:cs="宋体"/>
                <w:sz w:val="21"/>
                <w:szCs w:val="21"/>
              </w:rPr>
            </w:pPr>
            <w:r>
              <w:rPr>
                <w:rFonts w:hint="eastAsia" w:hAnsi="宋体" w:cs="宋体"/>
                <w:sz w:val="21"/>
                <w:szCs w:val="21"/>
              </w:rPr>
              <w:t>DVI-D电缆,单通道,10m,黑色</w:t>
            </w:r>
          </w:p>
        </w:tc>
        <w:tc>
          <w:tcPr>
            <w:tcW w:w="795"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台</w:t>
            </w:r>
          </w:p>
        </w:tc>
        <w:tc>
          <w:tcPr>
            <w:tcW w:w="627" w:type="dxa"/>
            <w:gridSpan w:val="2"/>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9</w:t>
            </w:r>
          </w:p>
        </w:tc>
        <w:tc>
          <w:tcPr>
            <w:tcW w:w="553"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2" w:hRule="atLeast"/>
        </w:trPr>
        <w:tc>
          <w:tcPr>
            <w:tcW w:w="559" w:type="dxa"/>
            <w:shd w:val="clear" w:color="000000" w:fill="FFFFFF"/>
            <w:vAlign w:val="center"/>
          </w:tcPr>
          <w:p>
            <w:pPr>
              <w:widowControl/>
              <w:jc w:val="center"/>
              <w:rPr>
                <w:rFonts w:hAnsi="宋体" w:cs="宋体"/>
                <w:color w:val="000000"/>
                <w:sz w:val="21"/>
                <w:szCs w:val="21"/>
              </w:rPr>
            </w:pPr>
            <w:r>
              <w:rPr>
                <w:rFonts w:hint="eastAsia" w:hAnsi="宋体" w:cs="宋体"/>
                <w:color w:val="000000"/>
                <w:sz w:val="21"/>
                <w:szCs w:val="21"/>
              </w:rPr>
              <w:t>二</w:t>
            </w:r>
          </w:p>
        </w:tc>
        <w:tc>
          <w:tcPr>
            <w:tcW w:w="8281" w:type="dxa"/>
            <w:gridSpan w:val="8"/>
            <w:shd w:val="clear" w:color="000000" w:fill="FFFFFF"/>
            <w:vAlign w:val="center"/>
          </w:tcPr>
          <w:p>
            <w:pPr>
              <w:widowControl/>
              <w:rPr>
                <w:rFonts w:hAnsi="宋体" w:cs="宋体"/>
                <w:b/>
                <w:bCs/>
                <w:color w:val="000000"/>
                <w:sz w:val="21"/>
                <w:szCs w:val="21"/>
              </w:rPr>
            </w:pPr>
            <w:r>
              <w:rPr>
                <w:rFonts w:hint="eastAsia" w:hAnsi="宋体" w:cs="宋体"/>
                <w:b/>
                <w:bCs/>
                <w:color w:val="000000"/>
                <w:sz w:val="21"/>
                <w:szCs w:val="21"/>
              </w:rPr>
              <w:t>校园高清监控系统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高清网络红外枪机</w:t>
            </w:r>
          </w:p>
        </w:tc>
        <w:tc>
          <w:tcPr>
            <w:tcW w:w="1293" w:type="dxa"/>
            <w:shd w:val="clear" w:color="auto" w:fill="auto"/>
            <w:vAlign w:val="center"/>
          </w:tcPr>
          <w:p>
            <w:pPr>
              <w:widowControl/>
              <w:jc w:val="center"/>
              <w:rPr>
                <w:rFonts w:hAnsi="宋体" w:cs="宋体"/>
                <w:sz w:val="21"/>
                <w:szCs w:val="21"/>
              </w:rPr>
            </w:pPr>
            <w:r>
              <w:rPr>
                <w:rFonts w:hint="eastAsia" w:hAnsi="宋体" w:cs="宋体"/>
                <w:color w:val="000000"/>
                <w:sz w:val="21"/>
                <w:szCs w:val="21"/>
              </w:rPr>
              <w:t>海康威视，浙江大华，宇视</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详见主要设备技术参数</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台</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11</w:t>
            </w:r>
          </w:p>
        </w:tc>
        <w:tc>
          <w:tcPr>
            <w:tcW w:w="553" w:type="dxa"/>
            <w:shd w:val="clear" w:color="auto" w:fill="auto"/>
            <w:vAlign w:val="center"/>
          </w:tcPr>
          <w:p>
            <w:pPr>
              <w:widowControl/>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2</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高清网络红外球机</w:t>
            </w:r>
          </w:p>
        </w:tc>
        <w:tc>
          <w:tcPr>
            <w:tcW w:w="1293" w:type="dxa"/>
            <w:shd w:val="clear" w:color="auto" w:fill="auto"/>
            <w:vAlign w:val="center"/>
          </w:tcPr>
          <w:p>
            <w:pPr>
              <w:widowControl/>
              <w:jc w:val="center"/>
              <w:rPr>
                <w:rFonts w:hAnsi="宋体" w:cs="宋体"/>
                <w:sz w:val="21"/>
                <w:szCs w:val="21"/>
              </w:rPr>
            </w:pPr>
            <w:r>
              <w:rPr>
                <w:rFonts w:hint="eastAsia" w:hAnsi="宋体" w:cs="宋体"/>
                <w:color w:val="000000"/>
                <w:sz w:val="21"/>
                <w:szCs w:val="21"/>
              </w:rPr>
              <w:t>海康威视，浙江大华，宇视</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详见主要设备技术参数</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台</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2</w:t>
            </w:r>
          </w:p>
        </w:tc>
        <w:tc>
          <w:tcPr>
            <w:tcW w:w="553" w:type="dxa"/>
            <w:shd w:val="clear" w:color="auto" w:fill="auto"/>
            <w:vAlign w:val="center"/>
          </w:tcPr>
          <w:p>
            <w:pPr>
              <w:widowControl/>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3</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车辆抓拍高清网络摄像机</w:t>
            </w:r>
          </w:p>
        </w:tc>
        <w:tc>
          <w:tcPr>
            <w:tcW w:w="1293" w:type="dxa"/>
            <w:shd w:val="clear" w:color="auto" w:fill="auto"/>
            <w:vAlign w:val="center"/>
          </w:tcPr>
          <w:p>
            <w:pPr>
              <w:widowControl/>
              <w:jc w:val="center"/>
              <w:rPr>
                <w:rFonts w:hAnsi="宋体" w:cs="宋体"/>
                <w:sz w:val="21"/>
                <w:szCs w:val="21"/>
              </w:rPr>
            </w:pPr>
            <w:r>
              <w:rPr>
                <w:rFonts w:hint="eastAsia" w:hAnsi="宋体" w:cs="宋体"/>
                <w:color w:val="000000"/>
                <w:sz w:val="21"/>
                <w:szCs w:val="21"/>
              </w:rPr>
              <w:t>海康威视，浙江大华，宇视</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详见主要设备技术参数</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台</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w:t>
            </w:r>
          </w:p>
        </w:tc>
        <w:tc>
          <w:tcPr>
            <w:tcW w:w="553" w:type="dxa"/>
            <w:shd w:val="clear" w:color="auto" w:fill="auto"/>
            <w:vAlign w:val="center"/>
          </w:tcPr>
          <w:p>
            <w:pPr>
              <w:widowControl/>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4</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网络二合一防雷器</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工作电压：DC12V，最大放电电流：10KA，响应时间：≤25ns，保护线路：+/-，接头形式：压接式</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5</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枪机立杆</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定做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镀锌钢管喷塑，高度3.5m，主干管径140mm+76mm，单横臂，长1-2m</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根</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9</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6</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枪机立杆</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定做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镀锌钢管喷塑，高度3.5m，主干管径140mm+76mm，双横臂，长1-2m</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根</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7</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球机立杆</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定做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镀锌钢管喷塑，高度6m，主干管径140mm，单横臂，长2m</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根</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8</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设备箱</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定做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不锈钢材质、定制，摄像机前端使用</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9</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桩基材料及安装</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定做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钢制</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10</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单口光纤收发器</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10/100M单模光纤收发器，RJ45-FC接口</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对</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11</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桌面级交换机</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华三，华为，中兴</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10M/100M，1个RJ45口，1个SC光纤口</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2</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12</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电源线</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帝诚，天诚，联通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铜芯聚氯乙稀绝缘聚氯乙稀护套软电缆，线径2芯1.0mm²非屏蔽线</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米</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500</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13</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电源线</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帝诚，天诚，联通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铜芯聚氯乙稀绝缘聚氯乙稀护套软电缆，线径2芯2.0mm²非屏蔽线</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米</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1000</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14</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阻水双绞线</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帝诚，天诚，联通</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超五类4对非屏蔽双绞线，室外</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箱</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2</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15</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4芯光纤</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室外单模铠装4芯</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米</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2000</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16</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工业转换电源</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AC220V-DC48V/12A</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5</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17</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工业转换电源</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DC48V-DC12V/5A</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只</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9</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18</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智慧校园综合管理平台软件</w:t>
            </w:r>
          </w:p>
        </w:tc>
        <w:tc>
          <w:tcPr>
            <w:tcW w:w="1293" w:type="dxa"/>
            <w:shd w:val="clear" w:color="auto" w:fill="auto"/>
            <w:vAlign w:val="center"/>
          </w:tcPr>
          <w:p>
            <w:pPr>
              <w:widowControl/>
              <w:jc w:val="center"/>
              <w:rPr>
                <w:rFonts w:hAnsi="宋体" w:cs="宋体"/>
                <w:sz w:val="21"/>
                <w:szCs w:val="21"/>
              </w:rPr>
            </w:pPr>
            <w:r>
              <w:rPr>
                <w:rFonts w:hint="eastAsia" w:hAnsi="宋体" w:cs="宋体"/>
                <w:color w:val="000000"/>
                <w:sz w:val="21"/>
                <w:szCs w:val="21"/>
              </w:rPr>
              <w:t>海康威视，浙江大华，宇视</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详见主要设备技术参数</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套</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19</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挖沟直埋</w:t>
            </w:r>
          </w:p>
        </w:tc>
        <w:tc>
          <w:tcPr>
            <w:tcW w:w="1293" w:type="dxa"/>
            <w:shd w:val="clear" w:color="auto" w:fill="auto"/>
            <w:vAlign w:val="center"/>
          </w:tcPr>
          <w:p>
            <w:pPr>
              <w:widowControl/>
              <w:jc w:val="center"/>
              <w:rPr>
                <w:rFonts w:hAnsi="宋体" w:cs="宋体"/>
                <w:sz w:val="21"/>
                <w:szCs w:val="21"/>
              </w:rPr>
            </w:pP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深度20cm</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米</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400</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20</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PE管</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color w:val="000000"/>
                <w:sz w:val="21"/>
                <w:szCs w:val="21"/>
              </w:rPr>
            </w:pPr>
            <w:r>
              <w:rPr>
                <w:rFonts w:hint="eastAsia" w:hAnsi="宋体" w:cs="宋体"/>
                <w:color w:val="000000"/>
                <w:sz w:val="21"/>
                <w:szCs w:val="21"/>
              </w:rPr>
              <w:t>直径32mm软聚氯乙烯管材壁厚不低于0.3mm</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米</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1000</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59" w:type="dxa"/>
            <w:shd w:val="clear" w:color="auto" w:fill="auto"/>
            <w:vAlign w:val="center"/>
          </w:tcPr>
          <w:p>
            <w:pPr>
              <w:widowControl/>
              <w:jc w:val="center"/>
              <w:rPr>
                <w:rFonts w:hAnsi="宋体" w:cs="宋体"/>
                <w:color w:val="000000"/>
                <w:sz w:val="21"/>
                <w:szCs w:val="21"/>
              </w:rPr>
            </w:pPr>
            <w:r>
              <w:rPr>
                <w:rFonts w:hint="eastAsia" w:hAnsi="宋体" w:cs="宋体"/>
                <w:color w:val="000000"/>
                <w:sz w:val="21"/>
                <w:szCs w:val="21"/>
              </w:rPr>
              <w:t>21</w:t>
            </w:r>
          </w:p>
        </w:tc>
        <w:tc>
          <w:tcPr>
            <w:tcW w:w="1942" w:type="dxa"/>
            <w:shd w:val="clear" w:color="auto" w:fill="auto"/>
            <w:vAlign w:val="center"/>
          </w:tcPr>
          <w:p>
            <w:pPr>
              <w:widowControl/>
              <w:rPr>
                <w:rFonts w:hAnsi="宋体" w:cs="宋体"/>
                <w:sz w:val="21"/>
                <w:szCs w:val="21"/>
              </w:rPr>
            </w:pPr>
            <w:r>
              <w:rPr>
                <w:rFonts w:hint="eastAsia" w:hAnsi="宋体" w:cs="宋体"/>
                <w:sz w:val="21"/>
                <w:szCs w:val="21"/>
              </w:rPr>
              <w:t>辅材</w:t>
            </w:r>
          </w:p>
        </w:tc>
        <w:tc>
          <w:tcPr>
            <w:tcW w:w="1293" w:type="dxa"/>
            <w:shd w:val="clear" w:color="auto" w:fill="auto"/>
            <w:vAlign w:val="center"/>
          </w:tcPr>
          <w:p>
            <w:pPr>
              <w:widowControl/>
              <w:jc w:val="center"/>
              <w:rPr>
                <w:rFonts w:hAnsi="宋体" w:cs="宋体"/>
                <w:sz w:val="21"/>
                <w:szCs w:val="21"/>
              </w:rPr>
            </w:pPr>
            <w:r>
              <w:rPr>
                <w:rFonts w:hint="eastAsia" w:hAnsi="宋体" w:cs="宋体"/>
                <w:sz w:val="21"/>
                <w:szCs w:val="21"/>
              </w:rPr>
              <w:t>国产</w:t>
            </w:r>
          </w:p>
        </w:tc>
        <w:tc>
          <w:tcPr>
            <w:tcW w:w="3086" w:type="dxa"/>
            <w:gridSpan w:val="2"/>
            <w:shd w:val="clear" w:color="auto" w:fill="auto"/>
            <w:vAlign w:val="center"/>
          </w:tcPr>
          <w:p>
            <w:pPr>
              <w:widowControl/>
              <w:rPr>
                <w:rFonts w:hAnsi="宋体" w:cs="宋体"/>
                <w:sz w:val="21"/>
                <w:szCs w:val="21"/>
              </w:rPr>
            </w:pPr>
            <w:r>
              <w:rPr>
                <w:rFonts w:hint="eastAsia" w:hAnsi="宋体" w:cs="宋体"/>
                <w:sz w:val="21"/>
                <w:szCs w:val="21"/>
              </w:rPr>
              <w:t>水晶头、网络跳线、耦合器、光纤跳线、尾纤、熔纤、插排等</w:t>
            </w:r>
          </w:p>
        </w:tc>
        <w:tc>
          <w:tcPr>
            <w:tcW w:w="795" w:type="dxa"/>
            <w:gridSpan w:val="2"/>
            <w:shd w:val="clear" w:color="auto" w:fill="auto"/>
            <w:vAlign w:val="center"/>
          </w:tcPr>
          <w:p>
            <w:pPr>
              <w:widowControl/>
              <w:jc w:val="center"/>
              <w:rPr>
                <w:rFonts w:hAnsi="宋体" w:cs="宋体"/>
                <w:sz w:val="21"/>
                <w:szCs w:val="21"/>
              </w:rPr>
            </w:pPr>
            <w:r>
              <w:rPr>
                <w:rFonts w:hint="eastAsia" w:hAnsi="宋体" w:cs="宋体"/>
                <w:sz w:val="21"/>
                <w:szCs w:val="21"/>
              </w:rPr>
              <w:t>批</w:t>
            </w:r>
          </w:p>
        </w:tc>
        <w:tc>
          <w:tcPr>
            <w:tcW w:w="612" w:type="dxa"/>
            <w:shd w:val="clear" w:color="auto" w:fill="auto"/>
            <w:vAlign w:val="center"/>
          </w:tcPr>
          <w:p>
            <w:pPr>
              <w:widowControl/>
              <w:jc w:val="center"/>
              <w:rPr>
                <w:rFonts w:hAnsi="宋体" w:cs="宋体"/>
                <w:sz w:val="21"/>
                <w:szCs w:val="21"/>
              </w:rPr>
            </w:pPr>
            <w:r>
              <w:rPr>
                <w:rFonts w:hint="eastAsia" w:hAnsi="宋体" w:cs="宋体"/>
                <w:sz w:val="21"/>
                <w:szCs w:val="21"/>
              </w:rPr>
              <w:t>1</w:t>
            </w:r>
          </w:p>
        </w:tc>
        <w:tc>
          <w:tcPr>
            <w:tcW w:w="553" w:type="dxa"/>
            <w:shd w:val="clear" w:color="auto" w:fill="auto"/>
            <w:vAlign w:val="center"/>
          </w:tcPr>
          <w:p>
            <w:pPr>
              <w:widowControl/>
              <w:jc w:val="center"/>
              <w:rPr>
                <w:rFonts w:hAnsi="宋体" w:cs="宋体"/>
                <w:sz w:val="21"/>
                <w:szCs w:val="21"/>
              </w:rPr>
            </w:pPr>
            <w:r>
              <w:rPr>
                <w:rFonts w:hint="eastAsia" w:hAnsi="宋体" w:cs="宋体"/>
                <w:sz w:val="21"/>
                <w:szCs w:val="21"/>
              </w:rPr>
              <w:t>　</w:t>
            </w:r>
          </w:p>
        </w:tc>
      </w:tr>
    </w:tbl>
    <w:p/>
    <w:p>
      <w:pPr>
        <w:pStyle w:val="2"/>
        <w:numPr>
          <w:ilvl w:val="0"/>
          <w:numId w:val="2"/>
        </w:numPr>
        <w:spacing w:before="0" w:after="0" w:line="360" w:lineRule="auto"/>
        <w:rPr>
          <w:rFonts w:hAnsi="宋体"/>
          <w:sz w:val="32"/>
          <w:szCs w:val="32"/>
        </w:rPr>
      </w:pPr>
      <w:bookmarkStart w:id="83" w:name="_Toc30298"/>
      <w:r>
        <w:rPr>
          <w:rFonts w:hint="eastAsia" w:hAnsi="宋体"/>
          <w:sz w:val="32"/>
          <w:szCs w:val="32"/>
        </w:rPr>
        <w:t>商务要求</w:t>
      </w:r>
      <w:bookmarkEnd w:id="83"/>
    </w:p>
    <w:p>
      <w:pPr>
        <w:pStyle w:val="78"/>
        <w:numPr>
          <w:ilvl w:val="0"/>
          <w:numId w:val="7"/>
        </w:numPr>
        <w:spacing w:line="360" w:lineRule="auto"/>
        <w:ind w:left="0" w:firstLine="0" w:firstLineChars="0"/>
        <w:rPr>
          <w:rFonts w:asciiTheme="minorEastAsia" w:hAnsiTheme="minorEastAsia" w:eastAsiaTheme="minorEastAsia"/>
          <w:sz w:val="24"/>
          <w:szCs w:val="24"/>
        </w:rPr>
      </w:pPr>
      <w:r>
        <w:rPr>
          <w:rFonts w:hint="eastAsia"/>
          <w:sz w:val="24"/>
          <w:szCs w:val="24"/>
        </w:rPr>
        <w:t>打</w:t>
      </w:r>
      <w:r>
        <w:rPr>
          <w:rFonts w:hint="eastAsia" w:asciiTheme="minorEastAsia" w:hAnsiTheme="minorEastAsia" w:eastAsiaTheme="minorEastAsia"/>
          <w:sz w:val="24"/>
          <w:szCs w:val="24"/>
        </w:rPr>
        <w:t>★的参数必须满足，以提供的检测报告资料为准，否则视为废标。</w:t>
      </w:r>
    </w:p>
    <w:p>
      <w:pPr>
        <w:pStyle w:val="78"/>
        <w:numPr>
          <w:ilvl w:val="0"/>
          <w:numId w:val="7"/>
        </w:numPr>
        <w:spacing w:line="360" w:lineRule="auto"/>
        <w:ind w:firstLineChars="0"/>
        <w:rPr>
          <w:sz w:val="24"/>
          <w:szCs w:val="24"/>
        </w:rPr>
      </w:pPr>
      <w:r>
        <w:rPr>
          <w:rFonts w:hint="eastAsia"/>
          <w:sz w:val="24"/>
          <w:szCs w:val="24"/>
        </w:rPr>
        <w:t>需提供主要设备厂商（46寸拼接屏显示单元、高清解码器、高清网络红外枪机、高清网络红外球机、车辆抓拍高清网络摄像机、智慧校园综合管理平台软件）针对本项目的授权书及三年质保函。</w:t>
      </w:r>
    </w:p>
    <w:p>
      <w:pPr>
        <w:pStyle w:val="2"/>
        <w:numPr>
          <w:ilvl w:val="0"/>
          <w:numId w:val="2"/>
        </w:numPr>
        <w:spacing w:before="0" w:after="0" w:line="360" w:lineRule="auto"/>
        <w:rPr>
          <w:rFonts w:hAnsi="宋体"/>
          <w:sz w:val="32"/>
          <w:szCs w:val="32"/>
        </w:rPr>
      </w:pPr>
      <w:bookmarkStart w:id="84" w:name="_Toc22736"/>
      <w:r>
        <w:rPr>
          <w:rFonts w:hint="eastAsia" w:hAnsi="宋体"/>
          <w:sz w:val="32"/>
          <w:szCs w:val="32"/>
        </w:rPr>
        <w:t>交付期和质保期</w:t>
      </w:r>
      <w:bookmarkEnd w:id="84"/>
    </w:p>
    <w:p>
      <w:pPr>
        <w:numPr>
          <w:ilvl w:val="0"/>
          <w:numId w:val="8"/>
        </w:numPr>
        <w:spacing w:line="360" w:lineRule="auto"/>
        <w:rPr>
          <w:rFonts w:hAnsi="宋体"/>
          <w:sz w:val="24"/>
          <w:szCs w:val="24"/>
        </w:rPr>
      </w:pPr>
      <w:r>
        <w:rPr>
          <w:rFonts w:hint="eastAsia" w:hAnsi="宋体"/>
          <w:sz w:val="24"/>
          <w:szCs w:val="24"/>
        </w:rPr>
        <w:t>交付期：合同后</w:t>
      </w:r>
      <w:r>
        <w:rPr>
          <w:rFonts w:hint="eastAsia" w:hAnsi="宋体"/>
          <w:sz w:val="24"/>
          <w:szCs w:val="24"/>
          <w:u w:val="single"/>
        </w:rPr>
        <w:t xml:space="preserve"> 30 </w:t>
      </w:r>
      <w:r>
        <w:rPr>
          <w:rFonts w:hint="eastAsia" w:hAnsi="宋体"/>
          <w:sz w:val="24"/>
          <w:szCs w:val="24"/>
        </w:rPr>
        <w:t>个工作日内完成供货、安装、调试交采购人使用。</w:t>
      </w:r>
    </w:p>
    <w:p>
      <w:pPr>
        <w:numPr>
          <w:ilvl w:val="0"/>
          <w:numId w:val="8"/>
        </w:numPr>
        <w:spacing w:line="360" w:lineRule="auto"/>
        <w:rPr>
          <w:rFonts w:hint="eastAsia" w:hAnsi="宋体"/>
          <w:sz w:val="24"/>
          <w:szCs w:val="24"/>
        </w:rPr>
      </w:pPr>
      <w:r>
        <w:rPr>
          <w:rFonts w:hint="eastAsia" w:hAnsi="宋体"/>
          <w:sz w:val="24"/>
          <w:szCs w:val="24"/>
        </w:rPr>
        <w:t>质保期：提供</w:t>
      </w:r>
      <w:r>
        <w:rPr>
          <w:rFonts w:hint="eastAsia" w:hAnsi="宋体"/>
          <w:sz w:val="24"/>
          <w:szCs w:val="24"/>
          <w:u w:val="single"/>
        </w:rPr>
        <w:t xml:space="preserve"> 三 </w:t>
      </w:r>
      <w:r>
        <w:rPr>
          <w:rFonts w:hint="eastAsia" w:hAnsi="宋体"/>
          <w:sz w:val="24"/>
          <w:szCs w:val="24"/>
        </w:rPr>
        <w:t>年设备免费质保服务。</w:t>
      </w: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int="eastAsia" w:hAnsi="宋体"/>
          <w:sz w:val="24"/>
          <w:szCs w:val="24"/>
        </w:rPr>
      </w:pPr>
    </w:p>
    <w:p>
      <w:pPr>
        <w:spacing w:line="360" w:lineRule="auto"/>
        <w:rPr>
          <w:rFonts w:hAnsi="宋体"/>
          <w:sz w:val="24"/>
          <w:szCs w:val="24"/>
        </w:rPr>
      </w:pPr>
    </w:p>
    <w:p>
      <w:pPr>
        <w:pStyle w:val="2"/>
        <w:spacing w:line="360" w:lineRule="auto"/>
        <w:jc w:val="center"/>
        <w:rPr>
          <w:rFonts w:hAnsi="宋体"/>
        </w:rPr>
      </w:pPr>
      <w:r>
        <w:rPr>
          <w:rFonts w:hint="eastAsia" w:hAnsi="宋体"/>
        </w:rPr>
        <w:t>第三章 合同条款</w:t>
      </w:r>
      <w:bookmarkEnd w:id="71"/>
    </w:p>
    <w:bookmarkEnd w:id="69"/>
    <w:p>
      <w:pPr>
        <w:spacing w:line="360" w:lineRule="auto"/>
        <w:rPr>
          <w:rFonts w:hAnsi="宋体"/>
          <w:sz w:val="28"/>
          <w:szCs w:val="28"/>
        </w:rPr>
      </w:pPr>
      <w:bookmarkStart w:id="85" w:name="_Toc279410005"/>
      <w:r>
        <w:rPr>
          <w:rFonts w:hint="eastAsia" w:hAnsi="宋体"/>
        </w:rPr>
        <w:t xml:space="preserve">      </w:t>
      </w:r>
      <w:r>
        <w:rPr>
          <w:rFonts w:hint="eastAsia" w:hAnsi="宋体"/>
          <w:sz w:val="28"/>
          <w:szCs w:val="28"/>
        </w:rPr>
        <w:t xml:space="preserve">        </w:t>
      </w:r>
      <w:r>
        <w:rPr>
          <w:rFonts w:hint="eastAsia" w:hAnsi="宋体"/>
          <w:b/>
          <w:bCs/>
          <w:sz w:val="36"/>
          <w:szCs w:val="36"/>
        </w:rPr>
        <w:t xml:space="preserve">      货物采购合同</w:t>
      </w:r>
    </w:p>
    <w:p>
      <w:pPr>
        <w:spacing w:line="360" w:lineRule="auto"/>
        <w:rPr>
          <w:rFonts w:hAnsi="宋体"/>
          <w:sz w:val="28"/>
          <w:szCs w:val="28"/>
        </w:rPr>
      </w:pPr>
      <w:r>
        <w:rPr>
          <w:rFonts w:hint="eastAsia" w:hAnsi="宋体"/>
          <w:sz w:val="28"/>
          <w:szCs w:val="28"/>
        </w:rPr>
        <w:t xml:space="preserve">                                            </w:t>
      </w:r>
      <w:r>
        <w:rPr>
          <w:rFonts w:hint="eastAsia" w:hAnsi="宋体"/>
          <w:bCs/>
          <w:szCs w:val="21"/>
        </w:rPr>
        <w:t>合同编号</w:t>
      </w:r>
      <w:r>
        <w:rPr>
          <w:rFonts w:hint="eastAsia" w:hAnsi="宋体"/>
          <w:sz w:val="28"/>
          <w:szCs w:val="28"/>
        </w:rPr>
        <w:t>：</w:t>
      </w:r>
    </w:p>
    <w:p>
      <w:pPr>
        <w:snapToGrid w:val="0"/>
        <w:spacing w:line="360" w:lineRule="auto"/>
        <w:rPr>
          <w:rFonts w:hAnsi="宋体"/>
          <w:b/>
          <w:bCs/>
          <w:sz w:val="24"/>
          <w:szCs w:val="24"/>
        </w:rPr>
      </w:pPr>
      <w:r>
        <w:rPr>
          <w:rFonts w:hint="eastAsia" w:hAnsi="宋体"/>
          <w:b/>
          <w:bCs/>
          <w:sz w:val="24"/>
          <w:szCs w:val="24"/>
        </w:rPr>
        <w:t>买方：南京审计大学（以下称“甲方”）</w:t>
      </w:r>
    </w:p>
    <w:p>
      <w:pPr>
        <w:snapToGrid w:val="0"/>
        <w:spacing w:line="360" w:lineRule="auto"/>
        <w:rPr>
          <w:rFonts w:hAnsi="宋体"/>
          <w:b/>
          <w:bCs/>
          <w:sz w:val="24"/>
          <w:szCs w:val="24"/>
        </w:rPr>
      </w:pPr>
      <w:r>
        <w:rPr>
          <w:rFonts w:hint="eastAsia" w:hAnsi="宋体"/>
          <w:b/>
          <w:bCs/>
          <w:sz w:val="24"/>
          <w:szCs w:val="24"/>
        </w:rPr>
        <w:t>卖方：             （以下称“乙方”）</w:t>
      </w:r>
    </w:p>
    <w:p>
      <w:pPr>
        <w:spacing w:line="360" w:lineRule="auto"/>
        <w:rPr>
          <w:rFonts w:hAnsi="宋体"/>
          <w:sz w:val="24"/>
          <w:szCs w:val="24"/>
        </w:rPr>
      </w:pPr>
      <w:r>
        <w:rPr>
          <w:rFonts w:hint="eastAsia" w:hAnsi="宋体"/>
          <w:sz w:val="24"/>
          <w:szCs w:val="24"/>
        </w:rPr>
        <w:t xml:space="preserve">    甲、乙双方依据《中华人民共和国合同法》及相关法律法规的规定，本着平等自愿、互惠互利、友好协商的原则，就甲方购买乙方货物事宜达成如下协议，以资信守：</w:t>
      </w:r>
    </w:p>
    <w:p>
      <w:pPr>
        <w:spacing w:line="360" w:lineRule="auto"/>
        <w:ind w:firstLine="480" w:firstLineChars="200"/>
        <w:rPr>
          <w:rFonts w:hAnsi="宋体"/>
          <w:sz w:val="24"/>
          <w:szCs w:val="24"/>
        </w:rPr>
      </w:pPr>
      <w:r>
        <w:rPr>
          <w:rFonts w:hint="eastAsia" w:hAnsi="宋体"/>
          <w:sz w:val="24"/>
          <w:szCs w:val="24"/>
        </w:rPr>
        <w:t>一、</w:t>
      </w:r>
      <w:r>
        <w:rPr>
          <w:rFonts w:hint="eastAsia" w:hAnsi="宋体"/>
          <w:b/>
          <w:bCs/>
          <w:sz w:val="24"/>
          <w:szCs w:val="24"/>
        </w:rPr>
        <w:t>标的</w:t>
      </w:r>
    </w:p>
    <w:tbl>
      <w:tblPr>
        <w:tblStyle w:val="45"/>
        <w:tblpPr w:leftFromText="180" w:rightFromText="180" w:vertAnchor="text" w:tblpXSpec="center" w:tblpY="217"/>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45"/>
        <w:gridCol w:w="1984"/>
        <w:gridCol w:w="851"/>
        <w:gridCol w:w="729"/>
        <w:gridCol w:w="810"/>
        <w:gridCol w:w="91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序号</w:t>
            </w:r>
          </w:p>
        </w:tc>
        <w:tc>
          <w:tcPr>
            <w:tcW w:w="1745" w:type="dxa"/>
            <w:vAlign w:val="center"/>
          </w:tcPr>
          <w:p>
            <w:pPr>
              <w:spacing w:line="360" w:lineRule="auto"/>
              <w:jc w:val="center"/>
              <w:rPr>
                <w:rFonts w:hAnsi="宋体"/>
                <w:szCs w:val="21"/>
              </w:rPr>
            </w:pPr>
            <w:r>
              <w:rPr>
                <w:rFonts w:hint="eastAsia" w:hAnsi="宋体"/>
                <w:szCs w:val="21"/>
              </w:rPr>
              <w:t>货物名称</w:t>
            </w:r>
          </w:p>
        </w:tc>
        <w:tc>
          <w:tcPr>
            <w:tcW w:w="1984" w:type="dxa"/>
            <w:vAlign w:val="center"/>
          </w:tcPr>
          <w:p>
            <w:pPr>
              <w:spacing w:line="360" w:lineRule="auto"/>
              <w:jc w:val="center"/>
              <w:rPr>
                <w:rFonts w:hAnsi="宋体"/>
                <w:szCs w:val="21"/>
              </w:rPr>
            </w:pPr>
            <w:r>
              <w:rPr>
                <w:rFonts w:hint="eastAsia" w:hAnsi="宋体"/>
                <w:szCs w:val="21"/>
              </w:rPr>
              <w:t>质量标准（含型号、规格及配置说明）</w:t>
            </w:r>
          </w:p>
        </w:tc>
        <w:tc>
          <w:tcPr>
            <w:tcW w:w="851" w:type="dxa"/>
            <w:vAlign w:val="center"/>
          </w:tcPr>
          <w:p>
            <w:pPr>
              <w:spacing w:line="360" w:lineRule="auto"/>
              <w:jc w:val="center"/>
              <w:rPr>
                <w:rFonts w:hAnsi="宋体"/>
                <w:szCs w:val="21"/>
              </w:rPr>
            </w:pPr>
            <w:r>
              <w:rPr>
                <w:rFonts w:hint="eastAsia" w:hAnsi="宋体"/>
                <w:szCs w:val="21"/>
              </w:rPr>
              <w:t>单位</w:t>
            </w:r>
          </w:p>
        </w:tc>
        <w:tc>
          <w:tcPr>
            <w:tcW w:w="729" w:type="dxa"/>
            <w:vAlign w:val="center"/>
          </w:tcPr>
          <w:p>
            <w:pPr>
              <w:spacing w:line="360" w:lineRule="auto"/>
              <w:jc w:val="center"/>
              <w:rPr>
                <w:rFonts w:hAnsi="宋体"/>
                <w:szCs w:val="21"/>
              </w:rPr>
            </w:pPr>
            <w:r>
              <w:rPr>
                <w:rFonts w:hint="eastAsia" w:hAnsi="宋体"/>
                <w:szCs w:val="21"/>
              </w:rPr>
              <w:t>数量</w:t>
            </w:r>
          </w:p>
        </w:tc>
        <w:tc>
          <w:tcPr>
            <w:tcW w:w="810" w:type="dxa"/>
            <w:vAlign w:val="center"/>
          </w:tcPr>
          <w:p>
            <w:pPr>
              <w:spacing w:line="360" w:lineRule="auto"/>
              <w:jc w:val="center"/>
              <w:rPr>
                <w:rFonts w:hAnsi="宋体"/>
                <w:szCs w:val="21"/>
              </w:rPr>
            </w:pPr>
            <w:r>
              <w:rPr>
                <w:rFonts w:hint="eastAsia" w:hAnsi="宋体"/>
                <w:szCs w:val="21"/>
              </w:rPr>
              <w:t>单价</w:t>
            </w:r>
          </w:p>
        </w:tc>
        <w:tc>
          <w:tcPr>
            <w:tcW w:w="915" w:type="dxa"/>
            <w:vAlign w:val="center"/>
          </w:tcPr>
          <w:p>
            <w:pPr>
              <w:spacing w:line="360" w:lineRule="auto"/>
              <w:jc w:val="center"/>
              <w:rPr>
                <w:rFonts w:hAnsi="宋体"/>
                <w:szCs w:val="21"/>
              </w:rPr>
            </w:pPr>
            <w:r>
              <w:rPr>
                <w:rFonts w:hint="eastAsia" w:hAnsi="宋体"/>
                <w:szCs w:val="21"/>
              </w:rPr>
              <w:t>总 价</w:t>
            </w:r>
          </w:p>
        </w:tc>
        <w:tc>
          <w:tcPr>
            <w:tcW w:w="1363" w:type="dxa"/>
          </w:tcPr>
          <w:p>
            <w:pPr>
              <w:spacing w:line="360" w:lineRule="auto"/>
              <w:jc w:val="center"/>
              <w:rPr>
                <w:rFonts w:hAnsi="宋体"/>
                <w:szCs w:val="21"/>
              </w:rPr>
            </w:pPr>
            <w:r>
              <w:rPr>
                <w:rFonts w:hint="eastAsia"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1</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2</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3</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34" w:type="dxa"/>
            <w:vAlign w:val="center"/>
          </w:tcPr>
          <w:p>
            <w:pPr>
              <w:spacing w:line="360" w:lineRule="auto"/>
              <w:jc w:val="center"/>
              <w:rPr>
                <w:rFonts w:hAnsi="宋体"/>
                <w:szCs w:val="21"/>
              </w:rPr>
            </w:pPr>
            <w:r>
              <w:rPr>
                <w:rFonts w:hint="eastAsia" w:hAnsi="宋体"/>
                <w:szCs w:val="21"/>
              </w:rPr>
              <w:t>4</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3" w:hRule="atLeast"/>
        </w:trPr>
        <w:tc>
          <w:tcPr>
            <w:tcW w:w="534" w:type="dxa"/>
            <w:vAlign w:val="center"/>
          </w:tcPr>
          <w:p>
            <w:pPr>
              <w:spacing w:line="360" w:lineRule="auto"/>
              <w:jc w:val="center"/>
              <w:rPr>
                <w:rFonts w:hAnsi="宋体"/>
                <w:szCs w:val="21"/>
              </w:rPr>
            </w:pPr>
            <w:r>
              <w:rPr>
                <w:rFonts w:hint="eastAsia" w:hAnsi="宋体"/>
                <w:szCs w:val="21"/>
              </w:rPr>
              <w:t>5</w:t>
            </w:r>
          </w:p>
        </w:tc>
        <w:tc>
          <w:tcPr>
            <w:tcW w:w="1745" w:type="dxa"/>
            <w:vAlign w:val="center"/>
          </w:tcPr>
          <w:p>
            <w:pPr>
              <w:spacing w:line="360" w:lineRule="auto"/>
              <w:jc w:val="center"/>
              <w:rPr>
                <w:rFonts w:hAnsi="宋体"/>
                <w:szCs w:val="21"/>
              </w:rPr>
            </w:pPr>
          </w:p>
        </w:tc>
        <w:tc>
          <w:tcPr>
            <w:tcW w:w="1984" w:type="dxa"/>
            <w:vAlign w:val="center"/>
          </w:tcPr>
          <w:p>
            <w:pPr>
              <w:spacing w:line="360" w:lineRule="auto"/>
              <w:jc w:val="center"/>
              <w:rPr>
                <w:rFonts w:hAnsi="宋体"/>
                <w:szCs w:val="21"/>
              </w:rPr>
            </w:pPr>
          </w:p>
        </w:tc>
        <w:tc>
          <w:tcPr>
            <w:tcW w:w="851" w:type="dxa"/>
            <w:vAlign w:val="center"/>
          </w:tcPr>
          <w:p>
            <w:pPr>
              <w:spacing w:line="360" w:lineRule="auto"/>
              <w:jc w:val="center"/>
              <w:rPr>
                <w:rFonts w:hAnsi="宋体"/>
                <w:szCs w:val="21"/>
              </w:rPr>
            </w:pPr>
          </w:p>
        </w:tc>
        <w:tc>
          <w:tcPr>
            <w:tcW w:w="729" w:type="dxa"/>
            <w:vAlign w:val="center"/>
          </w:tcPr>
          <w:p>
            <w:pPr>
              <w:spacing w:line="360" w:lineRule="auto"/>
              <w:jc w:val="center"/>
              <w:rPr>
                <w:rFonts w:hAnsi="宋体"/>
                <w:szCs w:val="21"/>
              </w:rPr>
            </w:pPr>
          </w:p>
        </w:tc>
        <w:tc>
          <w:tcPr>
            <w:tcW w:w="810" w:type="dxa"/>
            <w:vAlign w:val="center"/>
          </w:tcPr>
          <w:p>
            <w:pPr>
              <w:spacing w:line="360" w:lineRule="auto"/>
              <w:jc w:val="center"/>
              <w:rPr>
                <w:rFonts w:hAnsi="宋体"/>
                <w:szCs w:val="21"/>
              </w:rPr>
            </w:pPr>
          </w:p>
        </w:tc>
        <w:tc>
          <w:tcPr>
            <w:tcW w:w="915" w:type="dxa"/>
            <w:vAlign w:val="center"/>
          </w:tcPr>
          <w:p>
            <w:pPr>
              <w:spacing w:line="360" w:lineRule="auto"/>
              <w:jc w:val="center"/>
              <w:rPr>
                <w:rFonts w:hAnsi="宋体"/>
                <w:szCs w:val="21"/>
              </w:rPr>
            </w:pPr>
          </w:p>
        </w:tc>
        <w:tc>
          <w:tcPr>
            <w:tcW w:w="1363"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以上【   】项共计金额：￥</w:t>
            </w:r>
            <w:r>
              <w:rPr>
                <w:rFonts w:hint="eastAsia" w:hAnsi="宋体"/>
                <w:szCs w:val="21"/>
                <w:u w:val="single"/>
              </w:rPr>
              <w:t xml:space="preserve">          </w:t>
            </w:r>
            <w:r>
              <w:rPr>
                <w:rFonts w:hint="eastAsia" w:hAnsi="宋体"/>
                <w:szCs w:val="21"/>
              </w:rPr>
              <w:t>元（人民币大写：</w:t>
            </w:r>
            <w:r>
              <w:rPr>
                <w:rFonts w:hint="eastAsia" w:hAnsi="宋体"/>
                <w:szCs w:val="21"/>
                <w:u w:val="single"/>
              </w:rPr>
              <w:t xml:space="preserve">                          </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8931" w:type="dxa"/>
            <w:gridSpan w:val="8"/>
            <w:vAlign w:val="center"/>
          </w:tcPr>
          <w:p>
            <w:pPr>
              <w:spacing w:line="360" w:lineRule="auto"/>
              <w:jc w:val="center"/>
              <w:rPr>
                <w:rFonts w:hAnsi="宋体"/>
                <w:szCs w:val="21"/>
              </w:rPr>
            </w:pPr>
            <w:r>
              <w:rPr>
                <w:rFonts w:hint="eastAsia" w:hAnsi="宋体"/>
                <w:szCs w:val="21"/>
              </w:rPr>
              <w:t>注：货币均为人民币，单价、总价均为含税价。</w:t>
            </w:r>
          </w:p>
        </w:tc>
      </w:tr>
    </w:tbl>
    <w:p>
      <w:pPr>
        <w:spacing w:line="360" w:lineRule="auto"/>
        <w:ind w:firstLine="480" w:firstLineChars="200"/>
        <w:rPr>
          <w:rFonts w:hAnsi="宋体"/>
          <w:sz w:val="24"/>
          <w:szCs w:val="24"/>
        </w:rPr>
      </w:pPr>
      <w:r>
        <w:rPr>
          <w:rFonts w:hint="eastAsia" w:hAnsi="宋体"/>
          <w:sz w:val="24"/>
          <w:szCs w:val="24"/>
        </w:rPr>
        <w:t>技术要求：</w:t>
      </w:r>
      <w:r>
        <w:rPr>
          <w:rFonts w:hint="eastAsia" w:hAnsi="宋体"/>
          <w:color w:val="FF0000"/>
          <w:sz w:val="24"/>
          <w:szCs w:val="24"/>
        </w:rPr>
        <w:t xml:space="preserve">（如简单，可在上表备注中注明）  </w:t>
      </w:r>
      <w:r>
        <w:rPr>
          <w:rFonts w:hint="eastAsia" w:hAnsi="宋体"/>
          <w:sz w:val="24"/>
          <w:szCs w:val="24"/>
        </w:rPr>
        <w:t xml:space="preserve">          </w:t>
      </w:r>
    </w:p>
    <w:p>
      <w:pPr>
        <w:spacing w:line="360" w:lineRule="auto"/>
        <w:ind w:firstLine="482" w:firstLineChars="200"/>
        <w:rPr>
          <w:rFonts w:hAnsi="宋体"/>
          <w:sz w:val="24"/>
          <w:szCs w:val="24"/>
        </w:rPr>
      </w:pPr>
      <w:r>
        <w:rPr>
          <w:rFonts w:hint="eastAsia" w:hAnsi="宋体"/>
          <w:b/>
          <w:bCs/>
          <w:sz w:val="24"/>
          <w:szCs w:val="24"/>
        </w:rPr>
        <w:t>二、合同总价款</w:t>
      </w:r>
    </w:p>
    <w:p>
      <w:pPr>
        <w:snapToGrid w:val="0"/>
        <w:spacing w:line="360" w:lineRule="auto"/>
        <w:ind w:right="-488" w:rightChars="-244" w:firstLine="398" w:firstLineChars="166"/>
        <w:rPr>
          <w:rFonts w:hAnsi="宋体"/>
          <w:sz w:val="24"/>
          <w:szCs w:val="24"/>
        </w:rPr>
      </w:pPr>
      <w:r>
        <w:rPr>
          <w:rFonts w:hint="eastAsia" w:hAnsi="宋体"/>
          <w:bCs/>
          <w:sz w:val="24"/>
          <w:szCs w:val="24"/>
        </w:rPr>
        <w:t>2.1 本合同货物总价款（含税）：</w:t>
      </w:r>
      <w:r>
        <w:rPr>
          <w:rFonts w:hint="eastAsia" w:hAnsi="宋体"/>
          <w:b/>
          <w:bCs/>
          <w:sz w:val="24"/>
          <w:szCs w:val="24"/>
        </w:rPr>
        <w:t>￥</w:t>
      </w:r>
      <w:r>
        <w:rPr>
          <w:rFonts w:hint="eastAsia" w:hAnsi="宋体"/>
          <w:sz w:val="24"/>
          <w:szCs w:val="24"/>
          <w:u w:val="single"/>
        </w:rPr>
        <w:t xml:space="preserve">      </w:t>
      </w:r>
      <w:r>
        <w:rPr>
          <w:rFonts w:hint="eastAsia" w:hAnsi="宋体"/>
          <w:sz w:val="24"/>
          <w:szCs w:val="24"/>
        </w:rPr>
        <w:t>元（</w:t>
      </w:r>
      <w:r>
        <w:rPr>
          <w:rFonts w:hint="eastAsia" w:hAnsi="宋体"/>
          <w:bCs/>
          <w:sz w:val="24"/>
          <w:szCs w:val="24"/>
        </w:rPr>
        <w:t>人民币</w:t>
      </w:r>
      <w:r>
        <w:rPr>
          <w:rFonts w:hint="eastAsia" w:hAnsi="宋体"/>
          <w:sz w:val="24"/>
          <w:szCs w:val="24"/>
        </w:rPr>
        <w:t>大写：</w:t>
      </w:r>
      <w:r>
        <w:rPr>
          <w:rFonts w:hint="eastAsia" w:hAnsi="宋体"/>
          <w:sz w:val="24"/>
          <w:szCs w:val="24"/>
          <w:u w:val="single"/>
        </w:rPr>
        <w:t xml:space="preserve">         </w:t>
      </w:r>
      <w:r>
        <w:rPr>
          <w:rFonts w:hint="eastAsia" w:hAnsi="宋体"/>
          <w:sz w:val="24"/>
          <w:szCs w:val="24"/>
        </w:rPr>
        <w:t>）。实际价款以最终数量及合同单价按实际结算。</w:t>
      </w:r>
    </w:p>
    <w:p>
      <w:pPr>
        <w:snapToGrid w:val="0"/>
        <w:spacing w:line="360" w:lineRule="auto"/>
        <w:ind w:firstLine="480" w:firstLineChars="200"/>
        <w:rPr>
          <w:rFonts w:hAnsi="宋体"/>
          <w:sz w:val="24"/>
          <w:szCs w:val="24"/>
        </w:rPr>
      </w:pPr>
      <w:r>
        <w:rPr>
          <w:rFonts w:hint="eastAsia" w:hAnsi="宋体"/>
          <w:color w:val="FF0000"/>
          <w:sz w:val="24"/>
          <w:szCs w:val="24"/>
        </w:rPr>
        <w:t>2.2 该价款</w:t>
      </w:r>
      <w:r>
        <w:rPr>
          <w:rFonts w:hint="eastAsia" w:hAnsi="宋体"/>
          <w:sz w:val="24"/>
          <w:szCs w:val="24"/>
        </w:rPr>
        <w:t>包含乙方将货物运至甲方指定交货地点并交付给甲方之前的所有费用（包括但不限于：成本费、包装费、检测费、运输费、装卸费、保险费、利润、税金、安装费、政策性文件规定及合同包含的所有风险、责任等各项应有费用）。</w:t>
      </w:r>
    </w:p>
    <w:p>
      <w:pPr>
        <w:spacing w:line="360" w:lineRule="auto"/>
        <w:ind w:firstLine="480" w:firstLineChars="200"/>
        <w:rPr>
          <w:rFonts w:hAnsi="宋体"/>
          <w:b/>
          <w:bCs/>
          <w:sz w:val="24"/>
          <w:szCs w:val="24"/>
        </w:rPr>
      </w:pPr>
      <w:r>
        <w:rPr>
          <w:rFonts w:hint="eastAsia" w:hAnsi="宋体"/>
          <w:sz w:val="24"/>
          <w:szCs w:val="24"/>
        </w:rPr>
        <w:t>三、</w:t>
      </w:r>
      <w:r>
        <w:rPr>
          <w:rFonts w:hint="eastAsia" w:hAnsi="宋体"/>
          <w:b/>
          <w:bCs/>
          <w:sz w:val="24"/>
          <w:szCs w:val="24"/>
        </w:rPr>
        <w:t>货物交付</w:t>
      </w:r>
    </w:p>
    <w:p>
      <w:pPr>
        <w:spacing w:line="360" w:lineRule="auto"/>
        <w:ind w:left="400" w:leftChars="200"/>
        <w:rPr>
          <w:rFonts w:hAnsi="宋体"/>
          <w:sz w:val="24"/>
          <w:szCs w:val="24"/>
        </w:rPr>
      </w:pPr>
      <w:r>
        <w:rPr>
          <w:rFonts w:hint="eastAsia" w:hAnsi="宋体"/>
          <w:sz w:val="24"/>
          <w:szCs w:val="24"/>
        </w:rPr>
        <w:t>3.1 交货时间：</w:t>
      </w:r>
    </w:p>
    <w:p>
      <w:pPr>
        <w:spacing w:line="360" w:lineRule="auto"/>
        <w:ind w:left="400" w:leftChars="200" w:firstLine="360" w:firstLineChars="150"/>
        <w:rPr>
          <w:rFonts w:hAnsi="宋体"/>
          <w:sz w:val="24"/>
          <w:szCs w:val="24"/>
        </w:rPr>
      </w:pPr>
      <w:r>
        <w:rPr>
          <w:rFonts w:hint="eastAsia" w:hAnsi="宋体"/>
          <w:sz w:val="24"/>
          <w:szCs w:val="24"/>
          <w:highlight w:val="yellow"/>
        </w:rPr>
        <w:t>本合同签订后【 】个工作日内全部交货、安装调试完毕。</w:t>
      </w:r>
    </w:p>
    <w:p>
      <w:pPr>
        <w:spacing w:line="360" w:lineRule="auto"/>
        <w:ind w:left="400" w:leftChars="200"/>
        <w:rPr>
          <w:rFonts w:hAnsi="宋体"/>
          <w:sz w:val="24"/>
          <w:szCs w:val="24"/>
        </w:rPr>
      </w:pPr>
      <w:r>
        <w:rPr>
          <w:rFonts w:hint="eastAsia" w:hAnsi="宋体"/>
          <w:sz w:val="24"/>
          <w:szCs w:val="24"/>
        </w:rPr>
        <w:t>3.2 交货地点：</w:t>
      </w:r>
      <w:r>
        <w:rPr>
          <w:rFonts w:hint="eastAsia" w:hAnsi="宋体"/>
          <w:sz w:val="24"/>
          <w:szCs w:val="24"/>
          <w:u w:val="single"/>
        </w:rPr>
        <w:t xml:space="preserve">南京审计大学浦口校区 </w:t>
      </w:r>
      <w:r>
        <w:rPr>
          <w:rFonts w:hint="eastAsia" w:hAnsi="宋体"/>
          <w:sz w:val="24"/>
          <w:szCs w:val="24"/>
        </w:rPr>
        <w:t>。</w:t>
      </w:r>
    </w:p>
    <w:p>
      <w:pPr>
        <w:spacing w:line="360" w:lineRule="auto"/>
        <w:ind w:left="400" w:leftChars="200"/>
        <w:rPr>
          <w:rFonts w:hAnsi="宋体"/>
          <w:sz w:val="24"/>
          <w:szCs w:val="24"/>
        </w:rPr>
      </w:pPr>
      <w:r>
        <w:rPr>
          <w:rFonts w:hint="eastAsia" w:hAnsi="宋体"/>
          <w:sz w:val="24"/>
          <w:szCs w:val="24"/>
        </w:rPr>
        <w:t>3.3 交货方式：货物包装应按国家标准规定执行。由于包装不善引起的货物锈蚀、损坏和损失均由乙方承担。乙方负责选择运输方式和运输公司，运输途中的风险及费用由乙方承担。</w:t>
      </w:r>
    </w:p>
    <w:p>
      <w:pPr>
        <w:spacing w:line="360" w:lineRule="auto"/>
        <w:ind w:firstLine="482" w:firstLineChars="200"/>
        <w:rPr>
          <w:rFonts w:hAnsi="宋体"/>
          <w:sz w:val="24"/>
          <w:szCs w:val="24"/>
        </w:rPr>
      </w:pPr>
      <w:r>
        <w:rPr>
          <w:rFonts w:hint="eastAsia" w:hAnsi="宋体"/>
          <w:b/>
          <w:bCs/>
          <w:sz w:val="24"/>
          <w:szCs w:val="24"/>
        </w:rPr>
        <w:t>四、履约保证金及货款支付</w:t>
      </w:r>
    </w:p>
    <w:p>
      <w:pPr>
        <w:spacing w:line="360" w:lineRule="auto"/>
        <w:ind w:firstLine="480" w:firstLineChars="200"/>
        <w:rPr>
          <w:rFonts w:hAnsi="宋体"/>
          <w:sz w:val="24"/>
          <w:szCs w:val="24"/>
        </w:rPr>
      </w:pPr>
      <w:r>
        <w:rPr>
          <w:rFonts w:hint="eastAsia" w:hAnsi="宋体"/>
          <w:sz w:val="24"/>
          <w:szCs w:val="24"/>
        </w:rPr>
        <w:t>4.1 履约保证金</w:t>
      </w:r>
    </w:p>
    <w:p>
      <w:pPr>
        <w:spacing w:line="360" w:lineRule="auto"/>
        <w:ind w:firstLine="480" w:firstLineChars="200"/>
        <w:rPr>
          <w:rFonts w:hAnsi="宋体"/>
          <w:sz w:val="24"/>
          <w:szCs w:val="24"/>
        </w:rPr>
      </w:pPr>
      <w:r>
        <w:rPr>
          <w:rFonts w:hint="eastAsia" w:hAnsi="宋体"/>
          <w:sz w:val="24"/>
          <w:szCs w:val="24"/>
        </w:rPr>
        <w:t>合同签订后</w:t>
      </w:r>
      <w:r>
        <w:rPr>
          <w:rFonts w:hint="eastAsia" w:hAnsi="宋体"/>
          <w:sz w:val="24"/>
          <w:szCs w:val="24"/>
          <w:u w:val="single"/>
        </w:rPr>
        <w:t>3</w:t>
      </w:r>
      <w:r>
        <w:rPr>
          <w:rFonts w:hint="eastAsia" w:hAnsi="宋体"/>
          <w:sz w:val="24"/>
          <w:szCs w:val="24"/>
        </w:rPr>
        <w:t>个工作日内，乙方向甲方支付合同总价的</w:t>
      </w:r>
      <w:r>
        <w:rPr>
          <w:rFonts w:hint="eastAsia" w:hAnsi="宋体"/>
          <w:sz w:val="24"/>
          <w:szCs w:val="24"/>
          <w:u w:val="single"/>
        </w:rPr>
        <w:t>5%</w:t>
      </w:r>
      <w:r>
        <w:rPr>
          <w:rFonts w:hint="eastAsia" w:hAnsi="宋体"/>
          <w:sz w:val="24"/>
          <w:szCs w:val="24"/>
        </w:rPr>
        <w:t>作为履约保证金。并于货物验收合格后履约保证金自动转为质量保证金，质量保证金在货物最终验收合格满</w:t>
      </w:r>
      <w:r>
        <w:rPr>
          <w:rFonts w:hAnsi="宋体"/>
          <w:sz w:val="24"/>
          <w:szCs w:val="24"/>
        </w:rPr>
        <w:t>1</w:t>
      </w:r>
      <w:r>
        <w:rPr>
          <w:rFonts w:hint="eastAsia" w:hAnsi="宋体"/>
          <w:sz w:val="24"/>
          <w:szCs w:val="24"/>
        </w:rPr>
        <w:t>年后无息付清。</w:t>
      </w:r>
    </w:p>
    <w:p>
      <w:pPr>
        <w:spacing w:line="360" w:lineRule="auto"/>
        <w:ind w:firstLine="480" w:firstLineChars="200"/>
        <w:rPr>
          <w:rFonts w:hAnsi="宋体"/>
          <w:sz w:val="24"/>
          <w:szCs w:val="24"/>
        </w:rPr>
      </w:pPr>
      <w:r>
        <w:rPr>
          <w:rFonts w:hint="eastAsia" w:hAnsi="宋体"/>
          <w:sz w:val="24"/>
          <w:szCs w:val="24"/>
        </w:rPr>
        <w:t>4.</w:t>
      </w:r>
      <w:r>
        <w:rPr>
          <w:rFonts w:hAnsi="宋体"/>
          <w:sz w:val="24"/>
          <w:szCs w:val="24"/>
        </w:rPr>
        <w:t>2</w:t>
      </w:r>
      <w:r>
        <w:rPr>
          <w:rFonts w:hint="eastAsia" w:hAnsi="宋体"/>
          <w:sz w:val="24"/>
          <w:szCs w:val="24"/>
        </w:rPr>
        <w:t xml:space="preserve"> 货款支付方式及时间：</w:t>
      </w:r>
    </w:p>
    <w:p>
      <w:pPr>
        <w:snapToGrid w:val="0"/>
        <w:spacing w:line="360" w:lineRule="auto"/>
        <w:ind w:right="-86" w:rightChars="-43"/>
        <w:rPr>
          <w:rFonts w:hAnsi="宋体"/>
          <w:sz w:val="24"/>
          <w:szCs w:val="24"/>
        </w:rPr>
      </w:pPr>
      <w:r>
        <w:rPr>
          <w:rFonts w:hint="eastAsia" w:hAnsi="宋体"/>
          <w:sz w:val="24"/>
          <w:szCs w:val="24"/>
        </w:rPr>
        <w:t xml:space="preserve">    甲方收到全部货物、安装调试完毕并最终验收合格后【10】个工作日内，甲方向乙方支付货物总价款的【100】%，即￥</w:t>
      </w:r>
      <w:r>
        <w:rPr>
          <w:rFonts w:hint="eastAsia" w:hAnsi="宋体"/>
          <w:sz w:val="24"/>
          <w:szCs w:val="24"/>
          <w:u w:val="single"/>
        </w:rPr>
        <w:t xml:space="preserve">       </w:t>
      </w:r>
      <w:r>
        <w:rPr>
          <w:rFonts w:hint="eastAsia" w:hAnsi="宋体"/>
          <w:sz w:val="24"/>
          <w:szCs w:val="24"/>
        </w:rPr>
        <w:t xml:space="preserve"> 元（人民币大写：</w:t>
      </w:r>
      <w:r>
        <w:rPr>
          <w:rFonts w:hint="eastAsia" w:hAnsi="宋体"/>
          <w:sz w:val="24"/>
          <w:szCs w:val="24"/>
          <w:u w:val="single"/>
        </w:rPr>
        <w:t xml:space="preserve">                    </w:t>
      </w:r>
      <w:r>
        <w:rPr>
          <w:rFonts w:hint="eastAsia" w:hAnsi="宋体"/>
          <w:sz w:val="24"/>
          <w:szCs w:val="24"/>
        </w:rPr>
        <w:t>）。</w:t>
      </w:r>
    </w:p>
    <w:p>
      <w:pPr>
        <w:spacing w:line="360" w:lineRule="auto"/>
        <w:ind w:firstLine="480" w:firstLineChars="200"/>
        <w:rPr>
          <w:rFonts w:hAnsi="宋体"/>
          <w:sz w:val="24"/>
          <w:szCs w:val="24"/>
        </w:rPr>
      </w:pPr>
      <w:r>
        <w:rPr>
          <w:rFonts w:hint="eastAsia" w:hAnsi="宋体"/>
          <w:sz w:val="24"/>
          <w:szCs w:val="24"/>
        </w:rPr>
        <w:t>4.2 支付方式：√□银行转账  □电汇  □银行承兑票据   □现金   □支票</w:t>
      </w:r>
    </w:p>
    <w:p>
      <w:pPr>
        <w:spacing w:line="360" w:lineRule="auto"/>
        <w:ind w:firstLine="480" w:firstLineChars="200"/>
        <w:rPr>
          <w:rFonts w:hAnsi="宋体"/>
          <w:sz w:val="24"/>
          <w:szCs w:val="24"/>
        </w:rPr>
      </w:pPr>
      <w:r>
        <w:rPr>
          <w:rFonts w:hint="eastAsia" w:hAnsi="宋体"/>
          <w:sz w:val="24"/>
          <w:szCs w:val="24"/>
        </w:rPr>
        <w:t>4.3 发票提供：乙方应在甲方每次付款前按甲方要求向甲方出具等额的发票。</w:t>
      </w:r>
    </w:p>
    <w:p>
      <w:pPr>
        <w:spacing w:line="360" w:lineRule="auto"/>
        <w:ind w:firstLine="480" w:firstLineChars="200"/>
        <w:rPr>
          <w:rFonts w:hAnsi="宋体"/>
          <w:sz w:val="24"/>
          <w:szCs w:val="24"/>
        </w:rPr>
      </w:pPr>
      <w:r>
        <w:rPr>
          <w:rFonts w:hint="eastAsia" w:hAnsi="宋体"/>
          <w:sz w:val="24"/>
          <w:szCs w:val="24"/>
        </w:rPr>
        <w:t>4.4乙方账户信息：</w:t>
      </w:r>
    </w:p>
    <w:p>
      <w:pPr>
        <w:spacing w:line="360" w:lineRule="auto"/>
        <w:ind w:firstLine="480" w:firstLineChars="200"/>
        <w:rPr>
          <w:rFonts w:hAnsi="宋体"/>
          <w:sz w:val="24"/>
          <w:szCs w:val="24"/>
        </w:rPr>
      </w:pPr>
      <w:r>
        <w:rPr>
          <w:rFonts w:hint="eastAsia" w:hAnsi="宋体"/>
          <w:sz w:val="24"/>
          <w:szCs w:val="24"/>
        </w:rPr>
        <w:t>户名：</w:t>
      </w:r>
    </w:p>
    <w:p>
      <w:pPr>
        <w:spacing w:line="360" w:lineRule="auto"/>
        <w:ind w:firstLine="480" w:firstLineChars="200"/>
        <w:rPr>
          <w:rFonts w:hAnsi="宋体"/>
          <w:sz w:val="24"/>
          <w:szCs w:val="24"/>
        </w:rPr>
      </w:pPr>
      <w:r>
        <w:rPr>
          <w:rFonts w:hint="eastAsia" w:hAnsi="宋体"/>
          <w:sz w:val="24"/>
          <w:szCs w:val="24"/>
        </w:rPr>
        <w:t xml:space="preserve">开户行：            </w:t>
      </w:r>
    </w:p>
    <w:p>
      <w:pPr>
        <w:spacing w:line="360" w:lineRule="auto"/>
        <w:ind w:firstLine="480" w:firstLineChars="200"/>
        <w:rPr>
          <w:rFonts w:hAnsi="宋体"/>
          <w:sz w:val="24"/>
          <w:szCs w:val="24"/>
        </w:rPr>
      </w:pPr>
      <w:r>
        <w:rPr>
          <w:rFonts w:hint="eastAsia" w:hAnsi="宋体"/>
          <w:sz w:val="24"/>
          <w:szCs w:val="24"/>
        </w:rPr>
        <w:t>账号：</w:t>
      </w:r>
    </w:p>
    <w:p>
      <w:pPr>
        <w:spacing w:line="360" w:lineRule="auto"/>
        <w:ind w:firstLine="480" w:firstLineChars="200"/>
        <w:rPr>
          <w:rFonts w:hAnsi="宋体"/>
          <w:sz w:val="24"/>
          <w:szCs w:val="24"/>
        </w:rPr>
      </w:pPr>
      <w:r>
        <w:rPr>
          <w:rFonts w:hint="eastAsia" w:hAnsi="宋体"/>
          <w:sz w:val="24"/>
          <w:szCs w:val="24"/>
        </w:rPr>
        <w:t>行号：</w:t>
      </w:r>
    </w:p>
    <w:p>
      <w:pPr>
        <w:spacing w:line="360" w:lineRule="auto"/>
        <w:ind w:firstLine="482" w:firstLineChars="200"/>
        <w:rPr>
          <w:rFonts w:hAnsi="宋体"/>
          <w:sz w:val="24"/>
          <w:szCs w:val="24"/>
        </w:rPr>
      </w:pPr>
      <w:r>
        <w:rPr>
          <w:rFonts w:hint="eastAsia" w:hAnsi="宋体"/>
          <w:b/>
          <w:sz w:val="24"/>
          <w:szCs w:val="24"/>
        </w:rPr>
        <w:t>五、货物验收</w:t>
      </w:r>
    </w:p>
    <w:p>
      <w:pPr>
        <w:widowControl/>
        <w:spacing w:line="360" w:lineRule="auto"/>
        <w:ind w:firstLine="480" w:firstLineChars="200"/>
        <w:rPr>
          <w:rFonts w:hAnsi="宋体"/>
          <w:sz w:val="24"/>
          <w:szCs w:val="24"/>
        </w:rPr>
      </w:pPr>
      <w:r>
        <w:rPr>
          <w:rFonts w:hint="eastAsia" w:hAnsi="宋体"/>
          <w:sz w:val="24"/>
          <w:szCs w:val="24"/>
        </w:rPr>
        <w:t>5.1 乙方所提供的货物应符合相应的国家标准、行业标准及合同约定标准（以较高者为准）。并且完全符合合同规定的质量、规格和性能的要求，保证产品是全新的、未使用过的、非长期积压的库存商品。随货提供质量合格证书或质量保证书。</w:t>
      </w:r>
    </w:p>
    <w:p>
      <w:pPr>
        <w:spacing w:line="360" w:lineRule="auto"/>
        <w:ind w:firstLine="480" w:firstLineChars="200"/>
        <w:rPr>
          <w:rFonts w:hAnsi="宋体"/>
          <w:sz w:val="24"/>
          <w:szCs w:val="24"/>
        </w:rPr>
      </w:pPr>
      <w:r>
        <w:rPr>
          <w:rFonts w:hint="eastAsia" w:hAnsi="宋体"/>
          <w:sz w:val="24"/>
          <w:szCs w:val="24"/>
        </w:rPr>
        <w:t>5.2 甲方应在每次收到货物后【3】个工作日内，按照乙方提供的该批次货物清单对货物品牌、规格、型号、序列号、数量、外包装等进行验收。如货物验收合格，甲方签发货物验收合格确认单，甲方对货物验收合格的行为仅系对货物的品牌、规格、型号、数量等的初步确认。</w:t>
      </w:r>
    </w:p>
    <w:p>
      <w:pPr>
        <w:spacing w:line="360" w:lineRule="auto"/>
        <w:ind w:firstLine="480" w:firstLineChars="200"/>
        <w:rPr>
          <w:rFonts w:hAnsi="宋体"/>
          <w:sz w:val="24"/>
          <w:szCs w:val="24"/>
        </w:rPr>
      </w:pPr>
      <w:r>
        <w:rPr>
          <w:rFonts w:hint="eastAsia" w:hAnsi="宋体"/>
          <w:sz w:val="24"/>
          <w:szCs w:val="24"/>
        </w:rPr>
        <w:t>5.3若在使用过程中甲方对货物质量、数量等有异议，甲方有权书面通知乙方，乙方应在收到甲方货物异议通知后5个工作日内完成更换货物、补齐短缺货物或其他补救措施。</w:t>
      </w:r>
    </w:p>
    <w:p>
      <w:pPr>
        <w:spacing w:line="360" w:lineRule="auto"/>
        <w:ind w:firstLine="482" w:firstLineChars="200"/>
        <w:rPr>
          <w:rFonts w:hAnsi="宋体"/>
          <w:b/>
          <w:bCs/>
          <w:sz w:val="24"/>
          <w:szCs w:val="24"/>
        </w:rPr>
      </w:pPr>
      <w:r>
        <w:rPr>
          <w:rFonts w:hint="eastAsia" w:hAnsi="宋体"/>
          <w:b/>
          <w:bCs/>
          <w:sz w:val="24"/>
          <w:szCs w:val="24"/>
        </w:rPr>
        <w:t>六、质保期</w:t>
      </w:r>
    </w:p>
    <w:p>
      <w:pPr>
        <w:spacing w:line="360" w:lineRule="auto"/>
        <w:ind w:firstLine="480" w:firstLineChars="200"/>
        <w:rPr>
          <w:rFonts w:hAnsi="宋体"/>
          <w:bCs/>
          <w:sz w:val="24"/>
          <w:szCs w:val="24"/>
        </w:rPr>
      </w:pPr>
      <w:r>
        <w:rPr>
          <w:rFonts w:hint="eastAsia" w:hAnsi="宋体"/>
          <w:bCs/>
          <w:sz w:val="24"/>
          <w:szCs w:val="24"/>
        </w:rPr>
        <w:t>6.1 本合同项下货物的质保期为</w:t>
      </w:r>
      <w:r>
        <w:rPr>
          <w:rFonts w:hint="eastAsia" w:hAnsi="宋体"/>
          <w:bCs/>
          <w:sz w:val="24"/>
          <w:szCs w:val="24"/>
          <w:u w:val="single"/>
        </w:rPr>
        <w:t xml:space="preserve">    </w:t>
      </w:r>
      <w:r>
        <w:rPr>
          <w:rFonts w:hint="eastAsia" w:hAnsi="宋体"/>
          <w:bCs/>
          <w:sz w:val="24"/>
          <w:szCs w:val="24"/>
        </w:rPr>
        <w:t>，自甲方验收合格之日起计算。</w:t>
      </w:r>
    </w:p>
    <w:p>
      <w:pPr>
        <w:spacing w:line="360" w:lineRule="auto"/>
        <w:ind w:firstLine="480" w:firstLineChars="200"/>
        <w:rPr>
          <w:rFonts w:hAnsi="宋体"/>
          <w:bCs/>
          <w:sz w:val="24"/>
          <w:szCs w:val="24"/>
        </w:rPr>
      </w:pPr>
      <w:r>
        <w:rPr>
          <w:rFonts w:hint="eastAsia" w:hAnsi="宋体"/>
          <w:bCs/>
          <w:sz w:val="24"/>
          <w:szCs w:val="24"/>
        </w:rPr>
        <w:t>6.2 质保期内，乙方按照货物生产厂家质保规定和国家相关法律规定（以标准较高者为准）免费提供质保维修服务。</w:t>
      </w:r>
    </w:p>
    <w:p>
      <w:pPr>
        <w:spacing w:line="360" w:lineRule="auto"/>
        <w:ind w:firstLine="480" w:firstLineChars="200"/>
        <w:rPr>
          <w:rFonts w:hAnsi="宋体"/>
          <w:bCs/>
          <w:sz w:val="24"/>
          <w:szCs w:val="24"/>
        </w:rPr>
      </w:pPr>
      <w:r>
        <w:rPr>
          <w:rFonts w:hint="eastAsia" w:hAnsi="宋体"/>
          <w:bCs/>
          <w:sz w:val="24"/>
          <w:szCs w:val="24"/>
        </w:rPr>
        <w:t>6.3 在质量保证期内，乙方必须提供不超过12小时的响应服务，无偿承担故障维修、更换零配件的义务，24小时内修复一般故障，72小时内不能修复的故障应以新品替换。</w:t>
      </w:r>
    </w:p>
    <w:p>
      <w:pPr>
        <w:spacing w:line="360" w:lineRule="auto"/>
        <w:ind w:firstLine="482" w:firstLineChars="200"/>
        <w:rPr>
          <w:rFonts w:hAnsi="宋体"/>
          <w:sz w:val="24"/>
          <w:szCs w:val="24"/>
        </w:rPr>
      </w:pPr>
      <w:r>
        <w:rPr>
          <w:rFonts w:hint="eastAsia" w:hAnsi="宋体"/>
          <w:b/>
          <w:bCs/>
          <w:sz w:val="24"/>
          <w:szCs w:val="24"/>
        </w:rPr>
        <w:t>七、违约责任</w:t>
      </w:r>
    </w:p>
    <w:p>
      <w:pPr>
        <w:spacing w:line="360" w:lineRule="auto"/>
        <w:ind w:firstLine="480" w:firstLineChars="200"/>
        <w:rPr>
          <w:rFonts w:hAnsi="宋体"/>
          <w:sz w:val="24"/>
          <w:szCs w:val="24"/>
        </w:rPr>
      </w:pPr>
      <w:r>
        <w:rPr>
          <w:rFonts w:hint="eastAsia" w:hAnsi="宋体"/>
          <w:sz w:val="24"/>
          <w:szCs w:val="24"/>
        </w:rPr>
        <w:t>7.1 如乙方未按合同约定时间供货，每逾期一日，乙方应向甲方支付货物总价款千分之一的违约金，甲方有权在货款中相应扣除；逾期超过10日，甲方有权解除本合同，乙方除应返还甲方已支付款项外，还应支付甲方相当于货物总价款20%的违约金，违约金不足以弥补甲方损失的，乙方仍需承担赔偿责任。</w:t>
      </w:r>
    </w:p>
    <w:p>
      <w:pPr>
        <w:spacing w:line="360" w:lineRule="auto"/>
        <w:ind w:firstLine="480" w:firstLineChars="200"/>
        <w:rPr>
          <w:rFonts w:hAnsi="宋体"/>
          <w:sz w:val="24"/>
          <w:szCs w:val="24"/>
        </w:rPr>
      </w:pPr>
      <w:r>
        <w:rPr>
          <w:rFonts w:hint="eastAsia" w:hAnsi="宋体"/>
          <w:sz w:val="24"/>
          <w:szCs w:val="24"/>
        </w:rPr>
        <w:t>7.2 如乙方提供货物质量不合格或者数量短缺，乙方应在收到甲方货物异议通知后5个工作日内完成更换合格货物或者补齐短缺的货物。因此导致交货时间逾期，按照“7.1”规定处理。</w:t>
      </w:r>
    </w:p>
    <w:p>
      <w:pPr>
        <w:spacing w:line="360" w:lineRule="auto"/>
        <w:ind w:firstLine="480" w:firstLineChars="200"/>
        <w:rPr>
          <w:rFonts w:hAnsi="宋体"/>
          <w:sz w:val="24"/>
          <w:szCs w:val="24"/>
        </w:rPr>
      </w:pPr>
      <w:r>
        <w:rPr>
          <w:rFonts w:hint="eastAsia" w:hAnsi="宋体"/>
          <w:sz w:val="24"/>
          <w:szCs w:val="24"/>
        </w:rPr>
        <w:t>7.3 如乙方提供货物系假冒伪劣商品，乙方应按照《中华人民共和国消费者权益保护法》的有关规定，以所提供货物价值的三倍赔偿甲方由此造成的损失，甲方也可选择按照本条第二款的规定要求乙方承担违约责任。</w:t>
      </w:r>
    </w:p>
    <w:p>
      <w:pPr>
        <w:spacing w:line="360" w:lineRule="auto"/>
        <w:ind w:firstLine="480" w:firstLineChars="200"/>
        <w:rPr>
          <w:rFonts w:hAnsi="宋体"/>
          <w:sz w:val="24"/>
          <w:szCs w:val="24"/>
        </w:rPr>
      </w:pPr>
      <w:r>
        <w:rPr>
          <w:rFonts w:hint="eastAsia" w:hAnsi="宋体"/>
          <w:sz w:val="24"/>
          <w:szCs w:val="24"/>
        </w:rPr>
        <w:t>7.4 如乙方提供的货物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确属乙方责任的，甲方有权解除合同，并要求乙方支付甲方相当于货物总价款30%的违约金。</w:t>
      </w:r>
    </w:p>
    <w:p>
      <w:pPr>
        <w:spacing w:line="360" w:lineRule="auto"/>
        <w:ind w:firstLine="480" w:firstLineChars="200"/>
        <w:rPr>
          <w:rFonts w:hAnsi="宋体"/>
          <w:sz w:val="24"/>
          <w:szCs w:val="24"/>
        </w:rPr>
      </w:pPr>
      <w:r>
        <w:rPr>
          <w:rFonts w:hint="eastAsia" w:hAnsi="宋体"/>
          <w:sz w:val="24"/>
          <w:szCs w:val="24"/>
        </w:rPr>
        <w:t>7.5 如乙方未按约定履行质保义务或者履行质保义务不合格，</w:t>
      </w:r>
      <w:r>
        <w:rPr>
          <w:rFonts w:hint="eastAsia" w:hAnsi="宋体"/>
          <w:bCs/>
          <w:sz w:val="24"/>
          <w:szCs w:val="24"/>
        </w:rPr>
        <w:t>甲方可自行或委托第三方维修，相关费用由乙方承担。因此导致甲方遭受损失的，乙方应在接到甲方通知后3个工作日内赔偿甲方所遭受的全部损失。</w:t>
      </w:r>
    </w:p>
    <w:p>
      <w:pPr>
        <w:spacing w:line="360" w:lineRule="auto"/>
        <w:ind w:firstLine="480" w:firstLineChars="200"/>
        <w:rPr>
          <w:rFonts w:hAnsi="宋体"/>
          <w:sz w:val="24"/>
          <w:szCs w:val="24"/>
        </w:rPr>
      </w:pPr>
      <w:r>
        <w:rPr>
          <w:rFonts w:hint="eastAsia" w:hAnsi="宋体"/>
          <w:sz w:val="24"/>
          <w:szCs w:val="24"/>
        </w:rPr>
        <w:t>7.6 甲方逾期付款的，每逾期一天，按照当期逾期付款的万分之一向乙方支付违约金，此项违约金不得超过当期逾期金额的5%。</w:t>
      </w:r>
    </w:p>
    <w:p>
      <w:pPr>
        <w:spacing w:line="360" w:lineRule="auto"/>
        <w:ind w:firstLine="480" w:firstLineChars="200"/>
        <w:rPr>
          <w:rFonts w:hAnsi="宋体"/>
          <w:sz w:val="24"/>
          <w:szCs w:val="24"/>
        </w:rPr>
      </w:pPr>
      <w:r>
        <w:rPr>
          <w:rFonts w:hint="eastAsia" w:hAnsi="宋体"/>
          <w:sz w:val="24"/>
          <w:szCs w:val="24"/>
        </w:rPr>
        <w:t>7.7 针对任何一方的其他违约行为，违约方应在守约方通知后立即纠正，并赔偿因此导致守约方所遭受的经济损失。</w:t>
      </w:r>
    </w:p>
    <w:p>
      <w:pPr>
        <w:spacing w:line="360" w:lineRule="auto"/>
        <w:ind w:firstLine="482" w:firstLineChars="200"/>
        <w:rPr>
          <w:rFonts w:hAnsi="宋体"/>
          <w:b/>
          <w:bCs/>
          <w:sz w:val="24"/>
          <w:szCs w:val="24"/>
        </w:rPr>
      </w:pPr>
      <w:r>
        <w:rPr>
          <w:rFonts w:hint="eastAsia" w:hAnsi="宋体"/>
          <w:b/>
          <w:bCs/>
          <w:sz w:val="24"/>
          <w:szCs w:val="24"/>
        </w:rPr>
        <w:t>八、争议解决</w:t>
      </w:r>
    </w:p>
    <w:p>
      <w:pPr>
        <w:spacing w:line="360" w:lineRule="auto"/>
        <w:ind w:firstLine="480" w:firstLineChars="200"/>
        <w:rPr>
          <w:rFonts w:hAnsi="宋体"/>
          <w:sz w:val="24"/>
          <w:szCs w:val="24"/>
        </w:rPr>
      </w:pPr>
      <w:r>
        <w:rPr>
          <w:rFonts w:hint="eastAsia" w:hAnsi="宋体"/>
          <w:bCs/>
          <w:sz w:val="24"/>
          <w:szCs w:val="24"/>
        </w:rPr>
        <w:t>针对本合同内容或本合同履行所产生的一切争议，双方应首先友好协商解决；协商不成的，任何一方均可以向甲方所在地有管辖权的人民法院提起诉讼。</w:t>
      </w:r>
    </w:p>
    <w:p>
      <w:pPr>
        <w:spacing w:line="360" w:lineRule="auto"/>
        <w:ind w:firstLine="482" w:firstLineChars="200"/>
        <w:rPr>
          <w:rFonts w:hAnsi="宋体"/>
          <w:b/>
          <w:bCs/>
          <w:sz w:val="24"/>
          <w:szCs w:val="24"/>
        </w:rPr>
      </w:pPr>
      <w:r>
        <w:rPr>
          <w:rFonts w:hint="eastAsia" w:hAnsi="宋体"/>
          <w:b/>
          <w:bCs/>
          <w:sz w:val="24"/>
          <w:szCs w:val="24"/>
        </w:rPr>
        <w:t>九、不可抗力</w:t>
      </w:r>
    </w:p>
    <w:p>
      <w:pPr>
        <w:spacing w:line="360" w:lineRule="auto"/>
        <w:ind w:firstLine="480" w:firstLineChars="200"/>
        <w:rPr>
          <w:rFonts w:hAnsi="宋体"/>
          <w:bCs/>
          <w:sz w:val="24"/>
          <w:szCs w:val="24"/>
        </w:rPr>
      </w:pPr>
      <w:r>
        <w:rPr>
          <w:rFonts w:hint="eastAsia" w:hAnsi="宋体"/>
          <w:bCs/>
          <w:sz w:val="24"/>
          <w:szCs w:val="24"/>
        </w:rPr>
        <w:t>9.1 如果本合同任何一方因受到不可抗力时间影响而未能履行其在本合同下的全部或部分义务，该义务的履行在不可抗力时间妨碍其履行期间应予以中止。</w:t>
      </w:r>
    </w:p>
    <w:p>
      <w:pPr>
        <w:spacing w:line="360" w:lineRule="auto"/>
        <w:ind w:firstLine="480" w:firstLineChars="200"/>
        <w:rPr>
          <w:rFonts w:hAnsi="宋体"/>
          <w:bCs/>
          <w:sz w:val="24"/>
          <w:szCs w:val="24"/>
        </w:rPr>
      </w:pPr>
      <w:r>
        <w:rPr>
          <w:rFonts w:hint="eastAsia" w:hAnsi="宋体"/>
          <w:bCs/>
          <w:sz w:val="24"/>
          <w:szCs w:val="24"/>
        </w:rPr>
        <w:t>9.2 声称受到不可抗力事件影响的一方应尽可能在最短的时间内通过书面形式将不可抗力事件的发生通知另一方，并在该不可抗力事件发生后</w:t>
      </w:r>
      <w:r>
        <w:rPr>
          <w:rFonts w:hint="eastAsia" w:hAnsi="宋体"/>
          <w:bCs/>
          <w:sz w:val="24"/>
          <w:szCs w:val="24"/>
          <w:u w:val="single"/>
        </w:rPr>
        <w:t xml:space="preserve"> 20 </w:t>
      </w:r>
      <w:r>
        <w:rPr>
          <w:rFonts w:hint="eastAsia" w:hAnsi="宋体"/>
          <w:bCs/>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spacing w:line="360" w:lineRule="auto"/>
        <w:ind w:firstLine="480" w:firstLineChars="200"/>
        <w:rPr>
          <w:rFonts w:hAnsi="宋体"/>
          <w:bCs/>
          <w:sz w:val="24"/>
          <w:szCs w:val="24"/>
        </w:rPr>
      </w:pPr>
      <w:r>
        <w:rPr>
          <w:rFonts w:hint="eastAsia" w:hAnsi="宋体"/>
          <w:bCs/>
          <w:sz w:val="24"/>
          <w:szCs w:val="24"/>
        </w:rPr>
        <w:t>9.3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pPr>
        <w:spacing w:line="360" w:lineRule="auto"/>
        <w:ind w:firstLine="480" w:firstLineChars="200"/>
        <w:rPr>
          <w:rFonts w:hAnsi="宋体"/>
          <w:bCs/>
          <w:sz w:val="24"/>
          <w:szCs w:val="24"/>
        </w:rPr>
      </w:pPr>
      <w:r>
        <w:rPr>
          <w:rFonts w:hint="eastAsia" w:hAnsi="宋体"/>
          <w:bCs/>
          <w:sz w:val="24"/>
          <w:szCs w:val="24"/>
        </w:rPr>
        <w:t>9.4 本合同所称“不可抗力”是指受影响一方无法预料、不可避免且无法克服，并于本合同签订日之后出现的，是该方对本合同全部或部分的履行在客观上称为不可能或不实际的任何事件。</w:t>
      </w:r>
    </w:p>
    <w:p>
      <w:pPr>
        <w:spacing w:line="360" w:lineRule="auto"/>
        <w:ind w:firstLine="482" w:firstLineChars="200"/>
        <w:rPr>
          <w:rFonts w:hAnsi="宋体"/>
          <w:sz w:val="24"/>
          <w:szCs w:val="24"/>
        </w:rPr>
      </w:pPr>
      <w:r>
        <w:rPr>
          <w:rFonts w:hint="eastAsia" w:hAnsi="宋体"/>
          <w:b/>
          <w:bCs/>
          <w:sz w:val="24"/>
          <w:szCs w:val="24"/>
        </w:rPr>
        <w:t>十、</w:t>
      </w:r>
      <w:r>
        <w:rPr>
          <w:rFonts w:hint="eastAsia" w:hAnsi="宋体"/>
          <w:b/>
          <w:sz w:val="24"/>
          <w:szCs w:val="24"/>
        </w:rPr>
        <w:t>廉政条款</w:t>
      </w:r>
    </w:p>
    <w:p>
      <w:pPr>
        <w:spacing w:line="360" w:lineRule="auto"/>
        <w:ind w:firstLine="480" w:firstLineChars="200"/>
        <w:rPr>
          <w:rFonts w:hAnsi="宋体"/>
          <w:bCs/>
          <w:sz w:val="24"/>
          <w:szCs w:val="24"/>
        </w:rPr>
      </w:pPr>
      <w:r>
        <w:rPr>
          <w:rFonts w:hint="eastAsia" w:hAnsi="宋体"/>
          <w:bCs/>
          <w:sz w:val="24"/>
          <w:szCs w:val="24"/>
        </w:rPr>
        <w:t>10.1 乙方</w:t>
      </w:r>
      <w:r>
        <w:rPr>
          <w:rFonts w:hAnsi="宋体"/>
          <w:bCs/>
          <w:sz w:val="24"/>
          <w:szCs w:val="24"/>
        </w:rPr>
        <w:t>不得给予</w:t>
      </w:r>
      <w:r>
        <w:rPr>
          <w:rFonts w:hint="eastAsia" w:hAnsi="宋体"/>
          <w:bCs/>
          <w:sz w:val="24"/>
          <w:szCs w:val="24"/>
        </w:rPr>
        <w:t>甲方</w:t>
      </w:r>
      <w:r>
        <w:rPr>
          <w:rFonts w:hAnsi="宋体"/>
          <w:bCs/>
          <w:sz w:val="24"/>
          <w:szCs w:val="24"/>
        </w:rPr>
        <w:t>相关工作人员回扣、佣金、有价证券、实物或其它形式的利益，否则不论数额大小，</w:t>
      </w:r>
      <w:r>
        <w:rPr>
          <w:rFonts w:hint="eastAsia" w:hAnsi="宋体"/>
          <w:bCs/>
          <w:sz w:val="24"/>
          <w:szCs w:val="24"/>
        </w:rPr>
        <w:t>乙方</w:t>
      </w:r>
      <w:r>
        <w:rPr>
          <w:rFonts w:hAnsi="宋体"/>
          <w:bCs/>
          <w:sz w:val="24"/>
          <w:szCs w:val="24"/>
        </w:rPr>
        <w:t>应按本合同总额的20%向</w:t>
      </w:r>
      <w:r>
        <w:rPr>
          <w:rFonts w:hint="eastAsia" w:hAnsi="宋体"/>
          <w:bCs/>
          <w:sz w:val="24"/>
          <w:szCs w:val="24"/>
        </w:rPr>
        <w:t>甲方</w:t>
      </w:r>
      <w:r>
        <w:rPr>
          <w:rFonts w:hAnsi="宋体"/>
          <w:bCs/>
          <w:sz w:val="24"/>
          <w:szCs w:val="24"/>
        </w:rPr>
        <w:t>支付违约金，如合同尚未履行终结，</w:t>
      </w:r>
      <w:r>
        <w:rPr>
          <w:rFonts w:hint="eastAsia" w:hAnsi="宋体"/>
          <w:bCs/>
          <w:sz w:val="24"/>
          <w:szCs w:val="24"/>
        </w:rPr>
        <w:t>甲</w:t>
      </w:r>
      <w:r>
        <w:rPr>
          <w:rFonts w:hAnsi="宋体"/>
          <w:bCs/>
          <w:sz w:val="24"/>
          <w:szCs w:val="24"/>
        </w:rPr>
        <w:t>方有权解除合同。本条款对双方具有永久约束力，不因合同其他条款无效或失效而丧失效力。</w:t>
      </w:r>
    </w:p>
    <w:p>
      <w:pPr>
        <w:spacing w:line="360" w:lineRule="auto"/>
        <w:ind w:firstLine="480" w:firstLineChars="200"/>
        <w:rPr>
          <w:rFonts w:hAnsi="宋体"/>
          <w:bCs/>
          <w:sz w:val="24"/>
          <w:szCs w:val="24"/>
        </w:rPr>
      </w:pPr>
      <w:r>
        <w:rPr>
          <w:rFonts w:hint="eastAsia" w:hAnsi="宋体"/>
          <w:bCs/>
          <w:sz w:val="24"/>
          <w:szCs w:val="24"/>
        </w:rPr>
        <w:t>10.2 甲方</w:t>
      </w:r>
      <w:r>
        <w:rPr>
          <w:rFonts w:hAnsi="宋体"/>
          <w:bCs/>
          <w:sz w:val="24"/>
          <w:szCs w:val="24"/>
        </w:rPr>
        <w:t>相关工作人员</w:t>
      </w:r>
      <w:r>
        <w:rPr>
          <w:rFonts w:hint="eastAsia" w:hAnsi="宋体"/>
          <w:bCs/>
          <w:sz w:val="24"/>
          <w:szCs w:val="24"/>
        </w:rPr>
        <w:t>接受乙方</w:t>
      </w:r>
      <w:r>
        <w:rPr>
          <w:rFonts w:hAnsi="宋体"/>
          <w:bCs/>
          <w:sz w:val="24"/>
          <w:szCs w:val="24"/>
        </w:rPr>
        <w:t>回扣、佣金、有价证券、实物或其它形式的利益</w:t>
      </w:r>
      <w:r>
        <w:rPr>
          <w:rFonts w:hint="eastAsia" w:hAnsi="宋体"/>
          <w:bCs/>
          <w:sz w:val="24"/>
          <w:szCs w:val="24"/>
        </w:rPr>
        <w:t>，甲方将按照有关规定给予相应的处分，涉嫌犯罪的，移交司法机关追究其法律责任。</w:t>
      </w:r>
    </w:p>
    <w:p>
      <w:pPr>
        <w:spacing w:line="360" w:lineRule="auto"/>
        <w:ind w:firstLine="482" w:firstLineChars="200"/>
        <w:rPr>
          <w:rFonts w:hAnsi="宋体"/>
          <w:b/>
          <w:sz w:val="24"/>
          <w:szCs w:val="24"/>
        </w:rPr>
      </w:pPr>
      <w:r>
        <w:rPr>
          <w:rFonts w:hint="eastAsia" w:hAnsi="宋体"/>
          <w:b/>
          <w:sz w:val="24"/>
          <w:szCs w:val="24"/>
        </w:rPr>
        <w:t>十一、合同组成</w:t>
      </w:r>
    </w:p>
    <w:p>
      <w:pPr>
        <w:spacing w:line="360" w:lineRule="auto"/>
        <w:ind w:firstLine="480" w:firstLineChars="200"/>
        <w:rPr>
          <w:rFonts w:hAnsi="宋体"/>
          <w:bCs/>
          <w:sz w:val="24"/>
          <w:szCs w:val="24"/>
        </w:rPr>
      </w:pPr>
      <w:r>
        <w:rPr>
          <w:rFonts w:hint="eastAsia" w:hAnsi="宋体"/>
          <w:bCs/>
          <w:sz w:val="24"/>
          <w:szCs w:val="24"/>
        </w:rPr>
        <w:t>本合同由以下文件组成：</w:t>
      </w:r>
    </w:p>
    <w:p>
      <w:pPr>
        <w:spacing w:line="360" w:lineRule="auto"/>
        <w:ind w:firstLine="480" w:firstLineChars="200"/>
        <w:rPr>
          <w:rFonts w:hAnsi="宋体"/>
          <w:bCs/>
          <w:sz w:val="24"/>
          <w:szCs w:val="24"/>
        </w:rPr>
      </w:pPr>
      <w:r>
        <w:rPr>
          <w:rFonts w:hint="eastAsia" w:hAnsi="宋体"/>
          <w:bCs/>
          <w:sz w:val="24"/>
          <w:szCs w:val="24"/>
        </w:rPr>
        <w:t>11.1本合同协议书</w:t>
      </w:r>
    </w:p>
    <w:p>
      <w:pPr>
        <w:spacing w:line="360" w:lineRule="auto"/>
        <w:ind w:firstLine="480" w:firstLineChars="200"/>
        <w:rPr>
          <w:rFonts w:hAnsi="宋体"/>
          <w:bCs/>
          <w:sz w:val="24"/>
          <w:szCs w:val="24"/>
        </w:rPr>
      </w:pPr>
      <w:r>
        <w:rPr>
          <w:rFonts w:hint="eastAsia" w:hAnsi="宋体"/>
          <w:bCs/>
          <w:sz w:val="24"/>
          <w:szCs w:val="24"/>
        </w:rPr>
        <w:t>11.2成交通知书</w:t>
      </w:r>
    </w:p>
    <w:p>
      <w:pPr>
        <w:spacing w:line="360" w:lineRule="auto"/>
        <w:ind w:firstLine="480" w:firstLineChars="200"/>
        <w:rPr>
          <w:rFonts w:hAnsi="宋体"/>
          <w:bCs/>
          <w:sz w:val="24"/>
          <w:szCs w:val="24"/>
        </w:rPr>
      </w:pPr>
      <w:r>
        <w:rPr>
          <w:rFonts w:hint="eastAsia" w:hAnsi="宋体"/>
          <w:bCs/>
          <w:sz w:val="24"/>
          <w:szCs w:val="24"/>
        </w:rPr>
        <w:t>11.3采购文件及响应文件</w:t>
      </w:r>
    </w:p>
    <w:p>
      <w:pPr>
        <w:spacing w:line="360" w:lineRule="auto"/>
        <w:ind w:firstLine="480" w:firstLineChars="200"/>
        <w:rPr>
          <w:rFonts w:hAnsi="宋体"/>
          <w:bCs/>
          <w:sz w:val="24"/>
          <w:szCs w:val="24"/>
        </w:rPr>
      </w:pPr>
      <w:r>
        <w:rPr>
          <w:rFonts w:hint="eastAsia" w:hAnsi="宋体"/>
          <w:bCs/>
          <w:sz w:val="24"/>
          <w:szCs w:val="24"/>
        </w:rPr>
        <w:t>11.4甲乙双方商定的其他必要文件。</w:t>
      </w:r>
    </w:p>
    <w:p>
      <w:pPr>
        <w:spacing w:line="360" w:lineRule="auto"/>
        <w:ind w:firstLine="482" w:firstLineChars="200"/>
        <w:rPr>
          <w:rFonts w:hAnsi="宋体"/>
          <w:b/>
          <w:bCs/>
          <w:sz w:val="24"/>
          <w:szCs w:val="24"/>
        </w:rPr>
      </w:pPr>
      <w:r>
        <w:rPr>
          <w:rFonts w:hint="eastAsia" w:hAnsi="宋体"/>
          <w:b/>
          <w:bCs/>
          <w:sz w:val="24"/>
          <w:szCs w:val="24"/>
        </w:rPr>
        <w:t>十二、其他</w:t>
      </w:r>
    </w:p>
    <w:p>
      <w:pPr>
        <w:widowControl/>
        <w:spacing w:line="360" w:lineRule="auto"/>
        <w:ind w:firstLine="480" w:firstLineChars="200"/>
        <w:rPr>
          <w:rFonts w:hAnsi="宋体"/>
          <w:sz w:val="24"/>
          <w:szCs w:val="24"/>
        </w:rPr>
      </w:pPr>
      <w:r>
        <w:rPr>
          <w:rFonts w:hint="eastAsia" w:hAnsi="宋体"/>
          <w:sz w:val="24"/>
          <w:szCs w:val="24"/>
        </w:rPr>
        <w:t>12.1 本合同未尽事宜由双方另行协商，协商一致后可签署书面补充协议。补充协议与本合同具有同等法律效力，约定不一致的，以补充协议依约定为准。</w:t>
      </w:r>
    </w:p>
    <w:p>
      <w:pPr>
        <w:widowControl/>
        <w:spacing w:line="360" w:lineRule="auto"/>
        <w:ind w:firstLine="480" w:firstLineChars="200"/>
        <w:rPr>
          <w:rFonts w:hAnsi="宋体"/>
          <w:sz w:val="24"/>
          <w:szCs w:val="24"/>
        </w:rPr>
      </w:pPr>
      <w:r>
        <w:rPr>
          <w:rFonts w:hint="eastAsia" w:hAnsi="宋体"/>
          <w:sz w:val="24"/>
          <w:szCs w:val="24"/>
        </w:rPr>
        <w:t>12.2 在货物安装过程中，乙方负责安装人员及安装现场的安全教育与管理，如发生事故，一切责任均由乙方承担。</w:t>
      </w:r>
    </w:p>
    <w:p>
      <w:pPr>
        <w:widowControl/>
        <w:spacing w:line="360" w:lineRule="auto"/>
        <w:ind w:firstLine="480" w:firstLineChars="200"/>
        <w:rPr>
          <w:rFonts w:hAnsi="宋体"/>
          <w:sz w:val="24"/>
          <w:szCs w:val="24"/>
        </w:rPr>
      </w:pPr>
      <w:r>
        <w:rPr>
          <w:rFonts w:hint="eastAsia" w:hAnsi="宋体"/>
          <w:sz w:val="24"/>
          <w:szCs w:val="24"/>
        </w:rPr>
        <w:t>12.3 甲乙双方除非事先得到对方的书面同意或本合同另有规定，任何一方不得将本合同项下的任何权利、义务、责任转让给任何第三方。</w:t>
      </w:r>
    </w:p>
    <w:p>
      <w:pPr>
        <w:widowControl/>
        <w:spacing w:line="360" w:lineRule="auto"/>
        <w:ind w:firstLine="480" w:firstLineChars="200"/>
        <w:rPr>
          <w:rFonts w:hAnsi="宋体"/>
          <w:sz w:val="24"/>
          <w:szCs w:val="24"/>
        </w:rPr>
      </w:pPr>
      <w:r>
        <w:rPr>
          <w:rFonts w:hint="eastAsia" w:hAnsi="宋体"/>
          <w:sz w:val="24"/>
          <w:szCs w:val="24"/>
        </w:rPr>
        <w:t>12.4 未经双方同意，任何一方不得单方面修改本合同，如需变更，由甲乙双方协商一致后签订补充合同予以确认，补充合同与本合同具有同等法律效力。</w:t>
      </w:r>
    </w:p>
    <w:p>
      <w:pPr>
        <w:widowControl/>
        <w:spacing w:line="360" w:lineRule="auto"/>
        <w:ind w:firstLine="480" w:firstLineChars="200"/>
        <w:rPr>
          <w:rFonts w:hAnsi="宋体"/>
          <w:sz w:val="24"/>
          <w:szCs w:val="24"/>
        </w:rPr>
      </w:pPr>
      <w:r>
        <w:rPr>
          <w:rFonts w:hint="eastAsia" w:hAnsi="宋体"/>
          <w:sz w:val="24"/>
          <w:szCs w:val="24"/>
        </w:rPr>
        <w:t>12.5 本合同自双方盖章及其法定代表人或授权代表签字后生效。</w:t>
      </w:r>
    </w:p>
    <w:p>
      <w:pPr>
        <w:widowControl/>
        <w:spacing w:line="360" w:lineRule="auto"/>
        <w:ind w:left="760" w:leftChars="200" w:hanging="360" w:hangingChars="150"/>
        <w:rPr>
          <w:rFonts w:hAnsi="宋体"/>
          <w:sz w:val="24"/>
          <w:szCs w:val="24"/>
        </w:rPr>
      </w:pPr>
      <w:r>
        <w:rPr>
          <w:rFonts w:hint="eastAsia" w:hAnsi="宋体"/>
          <w:sz w:val="24"/>
          <w:szCs w:val="24"/>
        </w:rPr>
        <w:t>12.6 本合同一式肆份，甲方持有叁份，乙方持有壹份，具有同等法律效力。</w:t>
      </w:r>
    </w:p>
    <w:p>
      <w:pPr>
        <w:widowControl/>
        <w:spacing w:line="360" w:lineRule="auto"/>
        <w:rPr>
          <w:rFonts w:hAnsi="宋体"/>
          <w:b/>
          <w:sz w:val="24"/>
          <w:szCs w:val="24"/>
        </w:rPr>
      </w:pPr>
    </w:p>
    <w:p>
      <w:pPr>
        <w:widowControl/>
        <w:spacing w:line="360" w:lineRule="auto"/>
        <w:rPr>
          <w:rFonts w:hAnsi="宋体"/>
          <w:b/>
          <w:sz w:val="24"/>
          <w:szCs w:val="24"/>
        </w:rPr>
      </w:pPr>
      <w:r>
        <w:rPr>
          <w:rFonts w:hint="eastAsia" w:hAnsi="宋体"/>
          <w:b/>
          <w:sz w:val="24"/>
          <w:szCs w:val="24"/>
        </w:rPr>
        <w:t>以下为签字页，无正文</w:t>
      </w:r>
    </w:p>
    <w:p>
      <w:pPr>
        <w:spacing w:line="360" w:lineRule="auto"/>
        <w:ind w:firstLine="240" w:firstLineChars="100"/>
        <w:rPr>
          <w:rFonts w:hAnsi="宋体"/>
          <w:sz w:val="24"/>
          <w:szCs w:val="24"/>
        </w:rPr>
      </w:pPr>
    </w:p>
    <w:p>
      <w:pPr>
        <w:spacing w:line="360" w:lineRule="auto"/>
        <w:ind w:firstLine="240" w:firstLineChars="100"/>
        <w:rPr>
          <w:rFonts w:hAnsi="宋体"/>
          <w:sz w:val="24"/>
          <w:szCs w:val="24"/>
        </w:rPr>
      </w:pPr>
      <w:r>
        <w:rPr>
          <w:rFonts w:hint="eastAsia" w:hAnsi="宋体"/>
          <w:sz w:val="24"/>
          <w:szCs w:val="24"/>
        </w:rPr>
        <w:t>甲方：                                 乙方：</w:t>
      </w:r>
    </w:p>
    <w:p>
      <w:pPr>
        <w:spacing w:line="360" w:lineRule="auto"/>
        <w:ind w:firstLine="240" w:firstLineChars="100"/>
        <w:rPr>
          <w:rFonts w:hAnsi="宋体"/>
          <w:sz w:val="24"/>
          <w:szCs w:val="24"/>
        </w:rPr>
      </w:pPr>
      <w:r>
        <w:rPr>
          <w:rFonts w:hint="eastAsia" w:hAnsi="宋体"/>
          <w:sz w:val="24"/>
          <w:szCs w:val="24"/>
        </w:rPr>
        <w:t xml:space="preserve">法定代表人或授权代表：                 法定代表人或授权代表： </w:t>
      </w:r>
    </w:p>
    <w:p>
      <w:pPr>
        <w:spacing w:line="360" w:lineRule="auto"/>
        <w:ind w:firstLine="240" w:firstLineChars="100"/>
        <w:rPr>
          <w:rFonts w:hAnsi="宋体"/>
          <w:sz w:val="24"/>
          <w:szCs w:val="24"/>
        </w:rPr>
      </w:pPr>
      <w:r>
        <w:rPr>
          <w:rFonts w:hint="eastAsia" w:hAnsi="宋体"/>
          <w:sz w:val="24"/>
          <w:szCs w:val="24"/>
        </w:rPr>
        <w:t>日期：    年  月  日                   日期：    年  月  日</w:t>
      </w:r>
    </w:p>
    <w:p>
      <w:pPr>
        <w:spacing w:line="360" w:lineRule="auto"/>
        <w:rPr>
          <w:rFonts w:hAnsi="宋体"/>
          <w:sz w:val="24"/>
          <w:szCs w:val="24"/>
        </w:rPr>
      </w:pPr>
      <w:r>
        <w:rPr>
          <w:rFonts w:hint="eastAsia" w:hAnsi="宋体"/>
          <w:sz w:val="24"/>
          <w:szCs w:val="24"/>
        </w:rPr>
        <w:t xml:space="preserve">合同签订地：          </w:t>
      </w:r>
    </w:p>
    <w:p>
      <w:pPr>
        <w:rPr>
          <w:rFonts w:hAnsi="宋体"/>
        </w:rPr>
      </w:pPr>
    </w:p>
    <w:p>
      <w:pPr>
        <w:rPr>
          <w:rFonts w:hAnsi="宋体"/>
        </w:rPr>
      </w:pPr>
    </w:p>
    <w:p>
      <w:pPr>
        <w:pStyle w:val="2"/>
        <w:spacing w:line="360" w:lineRule="auto"/>
        <w:jc w:val="center"/>
        <w:rPr>
          <w:rFonts w:hAnsi="宋体"/>
        </w:rPr>
      </w:pPr>
      <w:bookmarkStart w:id="86" w:name="_Toc18997"/>
      <w:r>
        <w:rPr>
          <w:rFonts w:hint="eastAsia" w:hAnsi="宋体"/>
        </w:rPr>
        <w:t>第四章  谈判响应文件格式</w:t>
      </w:r>
      <w:bookmarkEnd w:id="85"/>
      <w:bookmarkEnd w:id="86"/>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87" w:name="_Toc279410006"/>
      <w:bookmarkStart w:id="88" w:name="_Toc153360200"/>
      <w:bookmarkStart w:id="89" w:name="_Toc25703"/>
      <w:r>
        <w:rPr>
          <w:rFonts w:hint="eastAsia" w:ascii="宋体" w:hAnsi="宋体" w:eastAsia="宋体"/>
        </w:rPr>
        <w:t>一、谈判函、谈判报价及项目相关文件</w:t>
      </w:r>
      <w:bookmarkEnd w:id="87"/>
      <w:bookmarkEnd w:id="88"/>
      <w:bookmarkEnd w:id="89"/>
    </w:p>
    <w:p>
      <w:pPr>
        <w:pStyle w:val="4"/>
        <w:autoSpaceDE/>
        <w:autoSpaceDN/>
        <w:adjustRightInd/>
        <w:spacing w:before="0" w:after="0" w:line="240" w:lineRule="auto"/>
        <w:rPr>
          <w:rFonts w:hAnsi="宋体"/>
          <w:kern w:val="2"/>
          <w:sz w:val="30"/>
          <w:szCs w:val="30"/>
        </w:rPr>
      </w:pPr>
      <w:bookmarkStart w:id="90" w:name="_Toc17153"/>
      <w:bookmarkStart w:id="91" w:name="_Toc279410007"/>
      <w:r>
        <w:rPr>
          <w:rFonts w:hint="eastAsia" w:hAnsi="宋体"/>
          <w:kern w:val="2"/>
          <w:sz w:val="30"/>
          <w:szCs w:val="30"/>
        </w:rPr>
        <w:t>1.竞争性谈判函</w:t>
      </w:r>
      <w:bookmarkEnd w:id="90"/>
      <w:bookmarkEnd w:id="91"/>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spacing w:line="360" w:lineRule="auto"/>
        <w:rPr>
          <w:rFonts w:hAnsi="宋体"/>
          <w:kern w:val="2"/>
          <w:sz w:val="30"/>
          <w:szCs w:val="30"/>
        </w:rPr>
      </w:pPr>
      <w:bookmarkStart w:id="92" w:name="_Toc8407"/>
      <w:bookmarkStart w:id="93" w:name="_Toc279410008"/>
      <w:r>
        <w:rPr>
          <w:rFonts w:hint="eastAsia" w:hAnsi="宋体"/>
        </w:rPr>
        <w:t>2.报价一览表</w:t>
      </w:r>
      <w:bookmarkEnd w:id="92"/>
      <w:bookmarkEnd w:id="93"/>
    </w:p>
    <w:tbl>
      <w:tblPr>
        <w:tblStyle w:val="45"/>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gridSpan w:val="3"/>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gridSpan w:val="3"/>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交付期</w:t>
            </w:r>
          </w:p>
        </w:tc>
        <w:tc>
          <w:tcPr>
            <w:tcW w:w="2361" w:type="dxa"/>
            <w:vAlign w:val="center"/>
          </w:tcPr>
          <w:p>
            <w:pPr>
              <w:topLinePunct/>
              <w:snapToGrid w:val="0"/>
              <w:spacing w:line="360" w:lineRule="auto"/>
              <w:jc w:val="center"/>
              <w:rPr>
                <w:rFonts w:hAnsi="宋体" w:cs="宋体"/>
                <w:bCs/>
                <w:sz w:val="24"/>
                <w:szCs w:val="24"/>
              </w:rPr>
            </w:pPr>
          </w:p>
        </w:tc>
        <w:tc>
          <w:tcPr>
            <w:tcW w:w="2361" w:type="dxa"/>
            <w:vAlign w:val="center"/>
          </w:tcPr>
          <w:p>
            <w:pPr>
              <w:widowControl/>
              <w:topLinePunct/>
              <w:snapToGrid w:val="0"/>
              <w:spacing w:before="4" w:line="360" w:lineRule="auto"/>
              <w:jc w:val="center"/>
              <w:rPr>
                <w:rFonts w:hAnsi="宋体" w:cs="宋体"/>
                <w:bCs/>
                <w:sz w:val="24"/>
                <w:szCs w:val="24"/>
              </w:rPr>
            </w:pPr>
            <w:r>
              <w:rPr>
                <w:rFonts w:hint="eastAsia" w:hAnsi="宋体" w:cs="宋体"/>
                <w:sz w:val="24"/>
                <w:szCs w:val="24"/>
              </w:rPr>
              <w:t>质保期</w:t>
            </w:r>
          </w:p>
        </w:tc>
        <w:tc>
          <w:tcPr>
            <w:tcW w:w="2361" w:type="dxa"/>
            <w:vAlign w:val="center"/>
          </w:tcPr>
          <w:p>
            <w:pPr>
              <w:topLinePunct/>
              <w:snapToGrid w:val="0"/>
              <w:spacing w:line="360" w:lineRule="auto"/>
              <w:jc w:val="center"/>
              <w:rPr>
                <w:rFonts w:hAnsi="宋体" w:cs="宋体"/>
                <w:bCs/>
                <w:sz w:val="24"/>
                <w:szCs w:val="24"/>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94" w:name="_Toc279410009"/>
      <w:bookmarkStart w:id="95" w:name="_Toc22231"/>
      <w:bookmarkStart w:id="96" w:name="_Toc213839796"/>
      <w:bookmarkStart w:id="97" w:name="_Toc196890851"/>
      <w:r>
        <w:rPr>
          <w:rFonts w:hint="eastAsia" w:hAnsi="宋体"/>
          <w:sz w:val="30"/>
        </w:rPr>
        <w:t>3</w:t>
      </w:r>
      <w:r>
        <w:rPr>
          <w:rFonts w:hAnsi="宋体"/>
          <w:sz w:val="30"/>
        </w:rPr>
        <w:t>.</w:t>
      </w:r>
      <w:r>
        <w:rPr>
          <w:rFonts w:hint="eastAsia" w:hAnsi="宋体"/>
          <w:sz w:val="30"/>
        </w:rPr>
        <w:t>谈判</w:t>
      </w:r>
      <w:r>
        <w:rPr>
          <w:rFonts w:hAnsi="宋体"/>
          <w:sz w:val="30"/>
        </w:rPr>
        <w:t>报价明细表</w:t>
      </w:r>
      <w:bookmarkEnd w:id="94"/>
      <w:bookmarkEnd w:id="95"/>
      <w:bookmarkEnd w:id="96"/>
      <w:bookmarkEnd w:id="97"/>
    </w:p>
    <w:tbl>
      <w:tblPr>
        <w:tblStyle w:val="45"/>
        <w:tblpPr w:leftFromText="180" w:rightFromText="180" w:vertAnchor="text" w:tblpXSpec="center" w:tblpY="217"/>
        <w:tblOverlap w:val="never"/>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1"/>
        <w:gridCol w:w="1482"/>
        <w:gridCol w:w="1482"/>
        <w:gridCol w:w="864"/>
        <w:gridCol w:w="864"/>
        <w:gridCol w:w="762"/>
        <w:gridCol w:w="91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序号</w:t>
            </w:r>
          </w:p>
        </w:tc>
        <w:tc>
          <w:tcPr>
            <w:tcW w:w="1111" w:type="dxa"/>
            <w:vAlign w:val="center"/>
          </w:tcPr>
          <w:p>
            <w:pPr>
              <w:spacing w:line="360" w:lineRule="auto"/>
              <w:jc w:val="center"/>
              <w:rPr>
                <w:rFonts w:hAnsi="宋体"/>
                <w:sz w:val="24"/>
                <w:szCs w:val="24"/>
              </w:rPr>
            </w:pPr>
            <w:r>
              <w:rPr>
                <w:rFonts w:hint="eastAsia" w:hAnsi="宋体"/>
                <w:sz w:val="24"/>
                <w:szCs w:val="24"/>
              </w:rPr>
              <w:t>货物</w:t>
            </w:r>
          </w:p>
          <w:p>
            <w:pPr>
              <w:spacing w:line="360" w:lineRule="auto"/>
              <w:jc w:val="center"/>
              <w:rPr>
                <w:rFonts w:hAnsi="宋体"/>
                <w:sz w:val="24"/>
                <w:szCs w:val="24"/>
              </w:rPr>
            </w:pPr>
            <w:r>
              <w:rPr>
                <w:rFonts w:hint="eastAsia" w:hAnsi="宋体"/>
                <w:sz w:val="24"/>
                <w:szCs w:val="24"/>
              </w:rPr>
              <w:t>名称</w:t>
            </w:r>
          </w:p>
        </w:tc>
        <w:tc>
          <w:tcPr>
            <w:tcW w:w="1482" w:type="dxa"/>
            <w:vAlign w:val="center"/>
          </w:tcPr>
          <w:p>
            <w:pPr>
              <w:spacing w:line="360" w:lineRule="auto"/>
              <w:jc w:val="center"/>
              <w:rPr>
                <w:rFonts w:hAnsi="宋体"/>
                <w:sz w:val="24"/>
                <w:szCs w:val="24"/>
              </w:rPr>
            </w:pPr>
            <w:r>
              <w:rPr>
                <w:rFonts w:hint="eastAsia" w:hAnsi="宋体"/>
                <w:sz w:val="24"/>
                <w:szCs w:val="24"/>
              </w:rPr>
              <w:t>品牌</w:t>
            </w:r>
          </w:p>
        </w:tc>
        <w:tc>
          <w:tcPr>
            <w:tcW w:w="1482" w:type="dxa"/>
            <w:vAlign w:val="center"/>
          </w:tcPr>
          <w:p>
            <w:pPr>
              <w:spacing w:line="360" w:lineRule="auto"/>
              <w:jc w:val="center"/>
              <w:rPr>
                <w:rFonts w:hAnsi="宋体"/>
                <w:sz w:val="24"/>
                <w:szCs w:val="24"/>
              </w:rPr>
            </w:pPr>
            <w:r>
              <w:rPr>
                <w:rFonts w:hint="eastAsia" w:hAnsi="宋体"/>
                <w:sz w:val="24"/>
                <w:szCs w:val="24"/>
              </w:rPr>
              <w:t>规格型号</w:t>
            </w:r>
          </w:p>
        </w:tc>
        <w:tc>
          <w:tcPr>
            <w:tcW w:w="864" w:type="dxa"/>
            <w:vAlign w:val="center"/>
          </w:tcPr>
          <w:p>
            <w:pPr>
              <w:spacing w:line="360" w:lineRule="auto"/>
              <w:jc w:val="center"/>
              <w:rPr>
                <w:rFonts w:hAnsi="宋体"/>
                <w:sz w:val="24"/>
                <w:szCs w:val="24"/>
              </w:rPr>
            </w:pPr>
            <w:r>
              <w:rPr>
                <w:rFonts w:hint="eastAsia" w:hAnsi="宋体"/>
                <w:sz w:val="24"/>
                <w:szCs w:val="24"/>
              </w:rPr>
              <w:t>单位</w:t>
            </w:r>
          </w:p>
        </w:tc>
        <w:tc>
          <w:tcPr>
            <w:tcW w:w="864" w:type="dxa"/>
            <w:vAlign w:val="center"/>
          </w:tcPr>
          <w:p>
            <w:pPr>
              <w:spacing w:line="360" w:lineRule="auto"/>
              <w:jc w:val="center"/>
              <w:rPr>
                <w:rFonts w:hAnsi="宋体"/>
                <w:sz w:val="24"/>
                <w:szCs w:val="24"/>
              </w:rPr>
            </w:pPr>
            <w:r>
              <w:rPr>
                <w:rFonts w:hint="eastAsia" w:hAnsi="宋体"/>
                <w:sz w:val="24"/>
                <w:szCs w:val="24"/>
              </w:rPr>
              <w:t>数量</w:t>
            </w:r>
          </w:p>
        </w:tc>
        <w:tc>
          <w:tcPr>
            <w:tcW w:w="762" w:type="dxa"/>
            <w:vAlign w:val="center"/>
          </w:tcPr>
          <w:p>
            <w:pPr>
              <w:spacing w:line="360" w:lineRule="auto"/>
              <w:jc w:val="center"/>
              <w:rPr>
                <w:rFonts w:hAnsi="宋体"/>
                <w:sz w:val="24"/>
                <w:szCs w:val="24"/>
              </w:rPr>
            </w:pPr>
            <w:r>
              <w:rPr>
                <w:rFonts w:hint="eastAsia" w:hAnsi="宋体"/>
                <w:sz w:val="24"/>
                <w:szCs w:val="24"/>
              </w:rPr>
              <w:t>单价</w:t>
            </w:r>
          </w:p>
        </w:tc>
        <w:tc>
          <w:tcPr>
            <w:tcW w:w="911" w:type="dxa"/>
            <w:vAlign w:val="center"/>
          </w:tcPr>
          <w:p>
            <w:pPr>
              <w:spacing w:line="360" w:lineRule="auto"/>
              <w:jc w:val="center"/>
              <w:rPr>
                <w:rFonts w:hAnsi="宋体"/>
                <w:sz w:val="24"/>
                <w:szCs w:val="24"/>
              </w:rPr>
            </w:pPr>
            <w:r>
              <w:rPr>
                <w:rFonts w:hint="eastAsia" w:hAnsi="宋体"/>
                <w:sz w:val="24"/>
                <w:szCs w:val="24"/>
              </w:rPr>
              <w:t>总 价</w:t>
            </w:r>
          </w:p>
        </w:tc>
        <w:tc>
          <w:tcPr>
            <w:tcW w:w="1073" w:type="dxa"/>
            <w:vAlign w:val="center"/>
          </w:tcPr>
          <w:p>
            <w:pPr>
              <w:spacing w:line="360"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1</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2</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3</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4</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5</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1" w:type="dxa"/>
            <w:gridSpan w:val="9"/>
          </w:tcPr>
          <w:p>
            <w:pPr>
              <w:topLinePunct/>
              <w:snapToGrid w:val="0"/>
              <w:spacing w:line="360" w:lineRule="auto"/>
              <w:rPr>
                <w:rFonts w:hAnsi="宋体" w:cs="宋体"/>
                <w:bCs/>
                <w:sz w:val="24"/>
                <w:szCs w:val="24"/>
              </w:rPr>
            </w:pPr>
            <w:r>
              <w:rPr>
                <w:rFonts w:hint="eastAsia" w:hAnsi="宋体"/>
                <w:sz w:val="24"/>
                <w:szCs w:val="24"/>
              </w:rPr>
              <w:t>谈判报价总计：</w:t>
            </w:r>
            <w:r>
              <w:rPr>
                <w:rFonts w:hint="eastAsia" w:hAnsi="宋体" w:cs="宋体"/>
                <w:bCs/>
                <w:sz w:val="24"/>
                <w:szCs w:val="24"/>
              </w:rPr>
              <w:t>（大写）人民币</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spacing w:line="360" w:lineRule="auto"/>
              <w:ind w:firstLine="1680" w:firstLineChars="700"/>
              <w:rPr>
                <w:rFonts w:hAnsi="宋体"/>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98" w:name="_Toc20734"/>
      <w:bookmarkStart w:id="99" w:name="_Toc334621296"/>
      <w:r>
        <w:rPr>
          <w:rFonts w:hint="eastAsia" w:hAnsi="宋体"/>
          <w:sz w:val="30"/>
        </w:rPr>
        <w:t>4.技术要求响应表</w:t>
      </w:r>
      <w:bookmarkEnd w:id="98"/>
      <w:bookmarkEnd w:id="99"/>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978"/>
        <w:gridCol w:w="300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3978" w:type="dxa"/>
            <w:vAlign w:val="center"/>
          </w:tcPr>
          <w:p>
            <w:pPr>
              <w:spacing w:line="400" w:lineRule="exact"/>
              <w:jc w:val="center"/>
              <w:rPr>
                <w:rFonts w:hAnsi="宋体"/>
                <w:sz w:val="24"/>
              </w:rPr>
            </w:pPr>
            <w:r>
              <w:rPr>
                <w:rFonts w:hint="eastAsia" w:hAnsi="宋体"/>
                <w:sz w:val="24"/>
              </w:rPr>
              <w:t>原技术规范主要条款描述</w:t>
            </w:r>
          </w:p>
        </w:tc>
        <w:tc>
          <w:tcPr>
            <w:tcW w:w="3005"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3978" w:type="dxa"/>
            <w:vAlign w:val="center"/>
          </w:tcPr>
          <w:p>
            <w:pPr>
              <w:widowControl/>
              <w:rPr>
                <w:rFonts w:hAnsi="宋体" w:cs="宋体"/>
                <w:szCs w:val="21"/>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100" w:name="_Toc213839799"/>
      <w:bookmarkStart w:id="101" w:name="_Toc196890854"/>
      <w:bookmarkStart w:id="102" w:name="_Toc11779"/>
      <w:bookmarkStart w:id="103" w:name="_Toc279410011"/>
      <w:r>
        <w:rPr>
          <w:rFonts w:hint="eastAsia" w:hAnsi="宋体"/>
          <w:sz w:val="30"/>
        </w:rPr>
        <w:t>5</w:t>
      </w:r>
      <w:r>
        <w:rPr>
          <w:rFonts w:hAnsi="宋体"/>
          <w:sz w:val="30"/>
        </w:rPr>
        <w:t>.</w:t>
      </w:r>
      <w:bookmarkEnd w:id="100"/>
      <w:bookmarkEnd w:id="101"/>
      <w:r>
        <w:rPr>
          <w:rFonts w:hint="eastAsia" w:hAnsi="宋体"/>
          <w:sz w:val="30"/>
        </w:rPr>
        <w:t>服务质量及服务承诺书</w:t>
      </w:r>
      <w:bookmarkEnd w:id="102"/>
      <w:bookmarkEnd w:id="103"/>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104" w:name="_Toc279410012"/>
      <w:bookmarkStart w:id="105" w:name="_Toc5301"/>
      <w:bookmarkStart w:id="106" w:name="_Toc239251050"/>
      <w:r>
        <w:rPr>
          <w:rFonts w:hint="eastAsia" w:ascii="宋体" w:hAnsi="宋体" w:eastAsia="宋体"/>
        </w:rPr>
        <w:t>二、资格证明文件</w:t>
      </w:r>
      <w:bookmarkEnd w:id="104"/>
      <w:bookmarkEnd w:id="105"/>
      <w:bookmarkEnd w:id="106"/>
    </w:p>
    <w:p>
      <w:pPr>
        <w:pStyle w:val="4"/>
        <w:spacing w:line="360" w:lineRule="auto"/>
        <w:rPr>
          <w:rFonts w:hAnsi="宋体"/>
          <w:sz w:val="30"/>
        </w:rPr>
      </w:pPr>
      <w:bookmarkStart w:id="107" w:name="_Toc1739"/>
      <w:bookmarkStart w:id="108" w:name="_Toc279410013"/>
      <w:bookmarkStart w:id="109" w:name="_Toc239251051"/>
      <w:r>
        <w:rPr>
          <w:rFonts w:hint="eastAsia" w:hAnsi="宋体"/>
          <w:sz w:val="30"/>
        </w:rPr>
        <w:t>1.资质证书</w:t>
      </w:r>
      <w:bookmarkEnd w:id="107"/>
    </w:p>
    <w:p>
      <w:pPr>
        <w:spacing w:line="360" w:lineRule="auto"/>
        <w:rPr>
          <w:rFonts w:hAnsi="宋体"/>
          <w:sz w:val="24"/>
          <w:szCs w:val="28"/>
        </w:rPr>
      </w:pPr>
      <w:r>
        <w:rPr>
          <w:rFonts w:hint="eastAsia" w:hAnsi="宋体"/>
          <w:sz w:val="24"/>
          <w:szCs w:val="24"/>
        </w:rPr>
        <w:t>营业执照</w:t>
      </w:r>
      <w:bookmarkEnd w:id="108"/>
      <w:bookmarkEnd w:id="109"/>
      <w:r>
        <w:rPr>
          <w:rFonts w:hint="eastAsia" w:hAnsi="宋体"/>
          <w:sz w:val="24"/>
          <w:szCs w:val="24"/>
        </w:rPr>
        <w:t>、组织机构代码证、税务登记证等。</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110" w:name="_Toc8117"/>
      <w:bookmarkStart w:id="111" w:name="_Toc239251052"/>
      <w:bookmarkStart w:id="112" w:name="_Toc279410014"/>
      <w:r>
        <w:rPr>
          <w:rFonts w:hint="eastAsia" w:hAnsi="宋体"/>
        </w:rPr>
        <w:t>2.法人授权委托书</w:t>
      </w:r>
      <w:bookmarkEnd w:id="110"/>
      <w:bookmarkEnd w:id="111"/>
      <w:bookmarkEnd w:id="112"/>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ind w:firstLine="425" w:firstLineChars="177"/>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备注：</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仿宋_GB2312" w:hAnsi="华文仿宋" w:eastAsia="仿宋_GB2312"/>
          <w:sz w:val="24"/>
          <w:szCs w:val="24"/>
        </w:rPr>
      </w:pPr>
      <w:r>
        <w:rPr>
          <w:rFonts w:hint="eastAsia" w:ascii="仿宋_GB2312" w:hAnsi="华文仿宋" w:eastAsia="仿宋_GB2312"/>
          <w:sz w:val="24"/>
          <w:szCs w:val="24"/>
        </w:rPr>
        <w:t>（2）谈判供应商法定代表人直接参加谈判的，无须提供法人授权委托书，但须</w:t>
      </w:r>
    </w:p>
    <w:p>
      <w:pPr>
        <w:spacing w:line="360" w:lineRule="auto"/>
        <w:ind w:right="480"/>
        <w:rPr>
          <w:rFonts w:ascii="仿宋_GB2312" w:hAnsi="华文仿宋" w:eastAsia="仿宋_GB2312"/>
          <w:sz w:val="24"/>
          <w:szCs w:val="24"/>
        </w:rPr>
      </w:pPr>
      <w:r>
        <w:rPr>
          <w:rFonts w:hint="eastAsia" w:ascii="仿宋_GB2312" w:hAnsi="华文仿宋" w:eastAsia="仿宋_GB2312"/>
          <w:sz w:val="24"/>
          <w:szCs w:val="24"/>
        </w:rPr>
        <w:t>持本人身份证及营业执照复印件办理相关手续。</w:t>
      </w:r>
    </w:p>
    <w:p>
      <w:pPr>
        <w:pStyle w:val="4"/>
        <w:spacing w:line="360" w:lineRule="auto"/>
        <w:rPr>
          <w:rFonts w:hAnsi="宋体"/>
        </w:rPr>
      </w:pPr>
      <w:bookmarkStart w:id="113" w:name="_Toc468113435"/>
      <w:r>
        <w:rPr>
          <w:rFonts w:hint="eastAsia" w:hAnsi="宋体"/>
        </w:rPr>
        <w:t>3.业绩资料</w:t>
      </w:r>
      <w:bookmarkEnd w:id="113"/>
    </w:p>
    <w:p>
      <w:pPr>
        <w:snapToGrid w:val="0"/>
        <w:spacing w:line="360" w:lineRule="auto"/>
        <w:ind w:firstLine="480" w:firstLineChars="200"/>
        <w:rPr>
          <w:rFonts w:hAnsi="宋体"/>
          <w:color w:val="000000"/>
          <w:sz w:val="24"/>
          <w:szCs w:val="24"/>
        </w:rPr>
      </w:pPr>
      <w:r>
        <w:rPr>
          <w:rFonts w:hint="eastAsia" w:hAnsi="宋体"/>
          <w:sz w:val="24"/>
          <w:szCs w:val="28"/>
        </w:rPr>
        <w:t>2014年1月1日以来与本项目规模类似的业绩案例</w:t>
      </w:r>
      <w:r>
        <w:rPr>
          <w:rFonts w:hint="eastAsia" w:hAnsi="宋体"/>
          <w:color w:val="000000"/>
          <w:sz w:val="24"/>
          <w:szCs w:val="24"/>
        </w:rPr>
        <w:t>，合同原件带到开标现场备查。</w:t>
      </w:r>
    </w:p>
    <w:p>
      <w:pPr>
        <w:pStyle w:val="4"/>
        <w:spacing w:line="360" w:lineRule="auto"/>
        <w:rPr>
          <w:rFonts w:hAnsi="宋体"/>
        </w:rPr>
      </w:pPr>
      <w:bookmarkStart w:id="114" w:name="_Toc8809"/>
      <w:r>
        <w:rPr>
          <w:rFonts w:hint="eastAsia" w:hAnsi="宋体"/>
        </w:rPr>
        <w:t>4.其他</w:t>
      </w:r>
      <w:bookmarkEnd w:id="114"/>
    </w:p>
    <w:p>
      <w:pPr>
        <w:snapToGrid w:val="0"/>
        <w:spacing w:line="360" w:lineRule="auto"/>
        <w:ind w:firstLine="480" w:firstLineChars="200"/>
        <w:rPr>
          <w:rFonts w:hAnsi="宋体"/>
          <w:sz w:val="24"/>
          <w:szCs w:val="24"/>
        </w:rPr>
      </w:pPr>
      <w:r>
        <w:rPr>
          <w:rFonts w:hint="eastAsia" w:hAnsi="宋体"/>
          <w:sz w:val="24"/>
          <w:szCs w:val="24"/>
        </w:rPr>
        <w:t>（企业资质证书、获奖证书等谈判供应商认为有必要提供的其它内容，格式自定）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注：1、2、3项为必须提供的内容，须授权代表签字并加盖谈判供应商单位公章，未提供或未按要求提供将不能通过资格性审查。</w:t>
      </w:r>
    </w:p>
    <w:sectPr>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IGDT">
    <w:altName w:val="Courier New"/>
    <w:panose1 w:val="00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文仿宋">
    <w:altName w:val="微软雅黑"/>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1"/>
      </w:rPr>
    </w:pPr>
    <w:r>
      <w:fldChar w:fldCharType="begin"/>
    </w:r>
    <w:r>
      <w:rPr>
        <w:rStyle w:val="41"/>
      </w:rPr>
      <w:instrText xml:space="preserve">PAGE  </w:instrText>
    </w:r>
    <w:r>
      <w:fldChar w:fldCharType="separate"/>
    </w:r>
    <w:r>
      <w:rPr>
        <w:rStyle w:val="41"/>
      </w:rPr>
      <w:t>33</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71E8"/>
    <w:multiLevelType w:val="multilevel"/>
    <w:tmpl w:val="0FD471E8"/>
    <w:lvl w:ilvl="0" w:tentative="0">
      <w:start w:val="1"/>
      <w:numFmt w:val="decimalEnclosedCircle"/>
      <w:suff w:val="nothing"/>
      <w:lvlText w:val="%1"/>
      <w:lvlJc w:val="left"/>
      <w:pPr>
        <w:ind w:left="928" w:hanging="360"/>
      </w:pPr>
      <w:rPr>
        <w:rFonts w:ascii="宋体" w:hAnsi="宋体" w:eastAsia="宋体" w:cs="Times New Roman"/>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7901959"/>
    <w:multiLevelType w:val="multilevel"/>
    <w:tmpl w:val="17901959"/>
    <w:lvl w:ilvl="0" w:tentative="0">
      <w:start w:val="1"/>
      <w:numFmt w:val="decimalEnclosedCircle"/>
      <w:suff w:val="nothing"/>
      <w:lvlText w:val="%1"/>
      <w:lvlJc w:val="left"/>
      <w:pPr>
        <w:ind w:left="928" w:hanging="360"/>
      </w:pPr>
      <w:rPr>
        <w:rFonts w:ascii="宋体" w:hAnsi="宋体" w:eastAsia="宋体" w:cs="Times New Roman"/>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
    <w:nsid w:val="1BB4105F"/>
    <w:multiLevelType w:val="multilevel"/>
    <w:tmpl w:val="1BB4105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31078F"/>
    <w:multiLevelType w:val="multilevel"/>
    <w:tmpl w:val="2931078F"/>
    <w:lvl w:ilvl="0" w:tentative="0">
      <w:start w:val="1"/>
      <w:numFmt w:val="decimal"/>
      <w:lvlText w:val="（%1）"/>
      <w:lvlJc w:val="left"/>
      <w:pPr>
        <w:ind w:left="1145" w:hanging="7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583BD70B"/>
    <w:multiLevelType w:val="singleLevel"/>
    <w:tmpl w:val="583BD70B"/>
    <w:lvl w:ilvl="0" w:tentative="0">
      <w:start w:val="1"/>
      <w:numFmt w:val="chineseCounting"/>
      <w:suff w:val="nothing"/>
      <w:lvlText w:val="（%1）"/>
      <w:lvlJc w:val="left"/>
    </w:lvl>
  </w:abstractNum>
  <w:abstractNum w:abstractNumId="5">
    <w:nsid w:val="656B7960"/>
    <w:multiLevelType w:val="multilevel"/>
    <w:tmpl w:val="656B7960"/>
    <w:lvl w:ilvl="0" w:tentative="0">
      <w:start w:val="1"/>
      <w:numFmt w:val="decimal"/>
      <w:lvlText w:val="%1、"/>
      <w:lvlJc w:val="left"/>
      <w:pPr>
        <w:ind w:left="360" w:hanging="360"/>
      </w:pPr>
      <w:rPr>
        <w:rFonts w:hint="default" w:ascii="Times New Roman" w:hAnsi="Times New Roman"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B9609FD"/>
    <w:multiLevelType w:val="multilevel"/>
    <w:tmpl w:val="7B9609FD"/>
    <w:lvl w:ilvl="0" w:tentative="0">
      <w:start w:val="1"/>
      <w:numFmt w:val="bullet"/>
      <w:lvlText w:val=""/>
      <w:lvlJc w:val="left"/>
      <w:pPr>
        <w:ind w:left="900" w:hanging="420"/>
      </w:pPr>
      <w:rPr>
        <w:rFonts w:hint="default" w:ascii="Wingdings 2" w:hAnsi="Wingdings 2"/>
      </w:rPr>
    </w:lvl>
    <w:lvl w:ilvl="1" w:tentative="0">
      <w:start w:val="1"/>
      <w:numFmt w:val="bullet"/>
      <w:lvlText w:val=""/>
      <w:lvlJc w:val="left"/>
      <w:pPr>
        <w:ind w:left="1320" w:hanging="420"/>
      </w:pPr>
      <w:rPr>
        <w:rFonts w:hint="default" w:ascii="AIGDT" w:hAnsi="AIGDT"/>
      </w:rPr>
    </w:lvl>
    <w:lvl w:ilvl="2" w:tentative="0">
      <w:start w:val="1"/>
      <w:numFmt w:val="bullet"/>
      <w:lvlText w:val=""/>
      <w:lvlJc w:val="left"/>
      <w:pPr>
        <w:ind w:left="1740" w:hanging="420"/>
      </w:pPr>
      <w:rPr>
        <w:rFonts w:hint="default" w:ascii="AIGDT" w:hAnsi="AIGDT"/>
      </w:rPr>
    </w:lvl>
    <w:lvl w:ilvl="3" w:tentative="0">
      <w:start w:val="1"/>
      <w:numFmt w:val="bullet"/>
      <w:lvlText w:val=""/>
      <w:lvlJc w:val="left"/>
      <w:pPr>
        <w:ind w:left="2160" w:hanging="420"/>
      </w:pPr>
      <w:rPr>
        <w:rFonts w:hint="default" w:ascii="AIGDT" w:hAnsi="AIGDT"/>
      </w:rPr>
    </w:lvl>
    <w:lvl w:ilvl="4" w:tentative="0">
      <w:start w:val="1"/>
      <w:numFmt w:val="bullet"/>
      <w:lvlText w:val=""/>
      <w:lvlJc w:val="left"/>
      <w:pPr>
        <w:ind w:left="2580" w:hanging="420"/>
      </w:pPr>
      <w:rPr>
        <w:rFonts w:hint="default" w:ascii="AIGDT" w:hAnsi="AIGDT"/>
      </w:rPr>
    </w:lvl>
    <w:lvl w:ilvl="5" w:tentative="0">
      <w:start w:val="1"/>
      <w:numFmt w:val="bullet"/>
      <w:lvlText w:val=""/>
      <w:lvlJc w:val="left"/>
      <w:pPr>
        <w:ind w:left="3000" w:hanging="420"/>
      </w:pPr>
      <w:rPr>
        <w:rFonts w:hint="default" w:ascii="AIGDT" w:hAnsi="AIGDT"/>
      </w:rPr>
    </w:lvl>
    <w:lvl w:ilvl="6" w:tentative="0">
      <w:start w:val="1"/>
      <w:numFmt w:val="bullet"/>
      <w:lvlText w:val=""/>
      <w:lvlJc w:val="left"/>
      <w:pPr>
        <w:ind w:left="3420" w:hanging="420"/>
      </w:pPr>
      <w:rPr>
        <w:rFonts w:hint="default" w:ascii="AIGDT" w:hAnsi="AIGDT"/>
      </w:rPr>
    </w:lvl>
    <w:lvl w:ilvl="7" w:tentative="0">
      <w:start w:val="1"/>
      <w:numFmt w:val="bullet"/>
      <w:lvlText w:val=""/>
      <w:lvlJc w:val="left"/>
      <w:pPr>
        <w:ind w:left="3840" w:hanging="420"/>
      </w:pPr>
      <w:rPr>
        <w:rFonts w:hint="default" w:ascii="AIGDT" w:hAnsi="AIGDT"/>
      </w:rPr>
    </w:lvl>
    <w:lvl w:ilvl="8" w:tentative="0">
      <w:start w:val="1"/>
      <w:numFmt w:val="bullet"/>
      <w:lvlText w:val=""/>
      <w:lvlJc w:val="left"/>
      <w:pPr>
        <w:ind w:left="4260" w:hanging="420"/>
      </w:pPr>
      <w:rPr>
        <w:rFonts w:hint="default" w:ascii="AIGDT" w:hAnsi="AIGD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02408"/>
    <w:rsid w:val="00000065"/>
    <w:rsid w:val="00002458"/>
    <w:rsid w:val="00002888"/>
    <w:rsid w:val="00003B6F"/>
    <w:rsid w:val="000051E4"/>
    <w:rsid w:val="00007DE1"/>
    <w:rsid w:val="00012483"/>
    <w:rsid w:val="00016E67"/>
    <w:rsid w:val="0002058B"/>
    <w:rsid w:val="00020D86"/>
    <w:rsid w:val="00021BE9"/>
    <w:rsid w:val="00021F1A"/>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0E36"/>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1CA"/>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F0608"/>
    <w:rsid w:val="001F1F9E"/>
    <w:rsid w:val="0020605D"/>
    <w:rsid w:val="002072A9"/>
    <w:rsid w:val="00207375"/>
    <w:rsid w:val="0021344D"/>
    <w:rsid w:val="002177A7"/>
    <w:rsid w:val="00217832"/>
    <w:rsid w:val="002222EB"/>
    <w:rsid w:val="002239C9"/>
    <w:rsid w:val="002248ED"/>
    <w:rsid w:val="00236265"/>
    <w:rsid w:val="002362AC"/>
    <w:rsid w:val="00241684"/>
    <w:rsid w:val="00241F80"/>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24B5"/>
    <w:rsid w:val="002E4945"/>
    <w:rsid w:val="002E6248"/>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4FAB"/>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0CE"/>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44E8"/>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3311"/>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3C1A"/>
    <w:rsid w:val="007652BD"/>
    <w:rsid w:val="007670FF"/>
    <w:rsid w:val="00774018"/>
    <w:rsid w:val="00774B08"/>
    <w:rsid w:val="007835E1"/>
    <w:rsid w:val="00783BBC"/>
    <w:rsid w:val="00786923"/>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A31"/>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4769A"/>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B7DB9"/>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071F"/>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0663"/>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A4336"/>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718"/>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6E2"/>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3443"/>
    <w:rsid w:val="00CC47A9"/>
    <w:rsid w:val="00CC65FC"/>
    <w:rsid w:val="00CD1C49"/>
    <w:rsid w:val="00CE0BB4"/>
    <w:rsid w:val="00CE170C"/>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65BAE"/>
    <w:rsid w:val="00D65EFD"/>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5D31"/>
    <w:rsid w:val="00F477FF"/>
    <w:rsid w:val="00F47D1E"/>
    <w:rsid w:val="00F522BA"/>
    <w:rsid w:val="00F522F4"/>
    <w:rsid w:val="00F53387"/>
    <w:rsid w:val="00F54885"/>
    <w:rsid w:val="00F567C3"/>
    <w:rsid w:val="00F62A11"/>
    <w:rsid w:val="00F62E57"/>
    <w:rsid w:val="00F704EA"/>
    <w:rsid w:val="00F71B6D"/>
    <w:rsid w:val="00F77E28"/>
    <w:rsid w:val="00F8102B"/>
    <w:rsid w:val="00F85F34"/>
    <w:rsid w:val="00F8658C"/>
    <w:rsid w:val="00F9203A"/>
    <w:rsid w:val="00F95F36"/>
    <w:rsid w:val="00F96E18"/>
    <w:rsid w:val="00FA10CC"/>
    <w:rsid w:val="00FA43D6"/>
    <w:rsid w:val="00FB2547"/>
    <w:rsid w:val="00FB26CE"/>
    <w:rsid w:val="00FB5D2F"/>
    <w:rsid w:val="00FB64DB"/>
    <w:rsid w:val="00FB7502"/>
    <w:rsid w:val="00FC5720"/>
    <w:rsid w:val="00FC5841"/>
    <w:rsid w:val="00FC5B89"/>
    <w:rsid w:val="00FC6FAA"/>
    <w:rsid w:val="00FD0051"/>
    <w:rsid w:val="00FD2315"/>
    <w:rsid w:val="00FE6827"/>
    <w:rsid w:val="00FE7AB3"/>
    <w:rsid w:val="00FF5078"/>
    <w:rsid w:val="00FF7EE2"/>
    <w:rsid w:val="02804C4A"/>
    <w:rsid w:val="03EB0A08"/>
    <w:rsid w:val="06173B6F"/>
    <w:rsid w:val="0DCA46AA"/>
    <w:rsid w:val="13374E2D"/>
    <w:rsid w:val="134E279C"/>
    <w:rsid w:val="17996A23"/>
    <w:rsid w:val="17B4213F"/>
    <w:rsid w:val="1B1D3F52"/>
    <w:rsid w:val="1B6C23FD"/>
    <w:rsid w:val="1DB75862"/>
    <w:rsid w:val="2361128A"/>
    <w:rsid w:val="25D308E4"/>
    <w:rsid w:val="26F751C4"/>
    <w:rsid w:val="270E5306"/>
    <w:rsid w:val="2C1100F5"/>
    <w:rsid w:val="45A325C5"/>
    <w:rsid w:val="490507CC"/>
    <w:rsid w:val="493F2DB0"/>
    <w:rsid w:val="51C30478"/>
    <w:rsid w:val="5B802320"/>
    <w:rsid w:val="5DAA521B"/>
    <w:rsid w:val="5DBE0ECC"/>
    <w:rsid w:val="611E199B"/>
    <w:rsid w:val="61C0259F"/>
    <w:rsid w:val="6C477205"/>
    <w:rsid w:val="6C934082"/>
    <w:rsid w:val="6DC07A2B"/>
    <w:rsid w:val="70403F61"/>
    <w:rsid w:val="72ED5F7B"/>
    <w:rsid w:val="746637D0"/>
    <w:rsid w:val="750D6630"/>
    <w:rsid w:val="76142E0B"/>
    <w:rsid w:val="7DF97B29"/>
    <w:rsid w:val="7E6E1FDE"/>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autoSpaceDE/>
      <w:autoSpaceDN/>
      <w:adjustRightInd/>
    </w:pPr>
    <w:rPr>
      <w:rFonts w:ascii="Times New Roman"/>
      <w:kern w:val="2"/>
      <w:sz w:val="21"/>
      <w:szCs w:val="24"/>
    </w:rPr>
  </w:style>
  <w:style w:type="paragraph" w:styleId="15">
    <w:name w:val="toc 7"/>
    <w:basedOn w:val="1"/>
    <w:next w:val="1"/>
    <w:semiHidden/>
    <w:qFormat/>
    <w:uiPriority w:val="0"/>
    <w:pPr>
      <w:autoSpaceDE/>
      <w:autoSpaceDN/>
      <w:adjustRightInd/>
      <w:ind w:left="1260"/>
    </w:pPr>
    <w:rPr>
      <w:rFonts w:ascii="Times New Roman"/>
      <w:kern w:val="2"/>
      <w:sz w:val="18"/>
      <w:szCs w:val="18"/>
    </w:rPr>
  </w:style>
  <w:style w:type="paragraph" w:styleId="16">
    <w:name w:val="Body Text First Indent"/>
    <w:basedOn w:val="17"/>
    <w:qFormat/>
    <w:uiPriority w:val="0"/>
    <w:pPr>
      <w:spacing w:after="120"/>
      <w:ind w:firstLine="420" w:firstLineChars="100"/>
      <w:jc w:val="both"/>
    </w:pPr>
    <w:rPr>
      <w:sz w:val="21"/>
    </w:rPr>
  </w:style>
  <w:style w:type="paragraph" w:styleId="17">
    <w:name w:val="Body Text"/>
    <w:basedOn w:val="1"/>
    <w:link w:val="47"/>
    <w:qFormat/>
    <w:uiPriority w:val="0"/>
    <w:pPr>
      <w:autoSpaceDE/>
      <w:autoSpaceDN/>
      <w:adjustRightInd/>
      <w:jc w:val="center"/>
    </w:pPr>
    <w:rPr>
      <w:rFonts w:ascii="Times New Roman"/>
      <w:kern w:val="2"/>
      <w:sz w:val="44"/>
      <w:szCs w:val="24"/>
    </w:rPr>
  </w:style>
  <w:style w:type="paragraph" w:styleId="18">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9">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20">
    <w:name w:val="Body Text 3"/>
    <w:basedOn w:val="1"/>
    <w:qFormat/>
    <w:uiPriority w:val="0"/>
    <w:pPr>
      <w:widowControl/>
      <w:autoSpaceDE/>
      <w:autoSpaceDN/>
      <w:adjustRightInd/>
      <w:jc w:val="center"/>
    </w:pPr>
    <w:rPr>
      <w:rFonts w:ascii="Times New Roman"/>
      <w:sz w:val="21"/>
    </w:rPr>
  </w:style>
  <w:style w:type="paragraph" w:styleId="21">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2">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3">
    <w:name w:val="toc 3"/>
    <w:basedOn w:val="1"/>
    <w:next w:val="1"/>
    <w:qFormat/>
    <w:uiPriority w:val="39"/>
    <w:pPr>
      <w:tabs>
        <w:tab w:val="right" w:leader="dot" w:pos="8540"/>
      </w:tabs>
      <w:spacing w:line="360" w:lineRule="auto"/>
    </w:pPr>
  </w:style>
  <w:style w:type="paragraph" w:styleId="24">
    <w:name w:val="Plain Text"/>
    <w:basedOn w:val="1"/>
    <w:qFormat/>
    <w:uiPriority w:val="0"/>
    <w:pPr>
      <w:autoSpaceDE/>
      <w:autoSpaceDN/>
      <w:adjustRightInd/>
      <w:jc w:val="both"/>
    </w:pPr>
    <w:rPr>
      <w:rFonts w:hint="eastAsia" w:hAnsi="Courier New"/>
      <w:kern w:val="2"/>
      <w:sz w:val="21"/>
      <w:szCs w:val="21"/>
    </w:rPr>
  </w:style>
  <w:style w:type="paragraph" w:styleId="25">
    <w:name w:val="toc 8"/>
    <w:basedOn w:val="1"/>
    <w:next w:val="1"/>
    <w:semiHidden/>
    <w:qFormat/>
    <w:uiPriority w:val="0"/>
    <w:pPr>
      <w:autoSpaceDE/>
      <w:autoSpaceDN/>
      <w:adjustRightInd/>
      <w:ind w:left="1470"/>
    </w:pPr>
    <w:rPr>
      <w:rFonts w:ascii="Times New Roman"/>
      <w:kern w:val="2"/>
      <w:sz w:val="18"/>
      <w:szCs w:val="18"/>
    </w:rPr>
  </w:style>
  <w:style w:type="paragraph" w:styleId="26">
    <w:name w:val="Date"/>
    <w:basedOn w:val="1"/>
    <w:next w:val="1"/>
    <w:qFormat/>
    <w:uiPriority w:val="0"/>
    <w:pPr>
      <w:autoSpaceDE/>
      <w:autoSpaceDN/>
      <w:adjustRightInd/>
      <w:ind w:left="100" w:leftChars="2500"/>
      <w:jc w:val="both"/>
    </w:pPr>
    <w:rPr>
      <w:rFonts w:ascii="Times New Roman"/>
      <w:kern w:val="2"/>
      <w:sz w:val="21"/>
      <w:szCs w:val="24"/>
    </w:rPr>
  </w:style>
  <w:style w:type="paragraph" w:styleId="27">
    <w:name w:val="Balloon Text"/>
    <w:basedOn w:val="1"/>
    <w:semiHidden/>
    <w:qFormat/>
    <w:uiPriority w:val="0"/>
    <w:pPr>
      <w:autoSpaceDE/>
      <w:autoSpaceDN/>
      <w:adjustRightInd/>
      <w:jc w:val="both"/>
    </w:pPr>
    <w:rPr>
      <w:rFonts w:ascii="Times New Roman"/>
      <w:kern w:val="2"/>
      <w:sz w:val="18"/>
      <w:szCs w:val="18"/>
    </w:rPr>
  </w:style>
  <w:style w:type="paragraph" w:styleId="28">
    <w:name w:val="footer"/>
    <w:basedOn w:val="1"/>
    <w:qFormat/>
    <w:uiPriority w:val="0"/>
    <w:pPr>
      <w:tabs>
        <w:tab w:val="center" w:pos="4153"/>
        <w:tab w:val="right" w:pos="8306"/>
      </w:tabs>
      <w:snapToGrid w:val="0"/>
    </w:pPr>
    <w:rPr>
      <w:sz w:val="18"/>
      <w:szCs w:val="18"/>
    </w:rPr>
  </w:style>
  <w:style w:type="paragraph" w:styleId="29">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30">
    <w:name w:val="toc 1"/>
    <w:basedOn w:val="1"/>
    <w:next w:val="1"/>
    <w:qFormat/>
    <w:uiPriority w:val="39"/>
  </w:style>
  <w:style w:type="paragraph" w:styleId="31">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2">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4">
    <w:name w:val="toc 6"/>
    <w:basedOn w:val="1"/>
    <w:next w:val="1"/>
    <w:semiHidden/>
    <w:qFormat/>
    <w:uiPriority w:val="0"/>
    <w:pPr>
      <w:autoSpaceDE/>
      <w:autoSpaceDN/>
      <w:adjustRightInd/>
      <w:ind w:left="1050"/>
    </w:pPr>
    <w:rPr>
      <w:rFonts w:ascii="Times New Roman"/>
      <w:kern w:val="2"/>
      <w:sz w:val="18"/>
      <w:szCs w:val="18"/>
    </w:rPr>
  </w:style>
  <w:style w:type="paragraph" w:styleId="35">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6">
    <w:name w:val="toc 2"/>
    <w:basedOn w:val="1"/>
    <w:next w:val="1"/>
    <w:qFormat/>
    <w:uiPriority w:val="39"/>
    <w:pPr>
      <w:tabs>
        <w:tab w:val="right" w:leader="dot" w:pos="8540"/>
      </w:tabs>
      <w:spacing w:line="360" w:lineRule="auto"/>
    </w:pPr>
  </w:style>
  <w:style w:type="paragraph" w:styleId="37">
    <w:name w:val="toc 9"/>
    <w:basedOn w:val="1"/>
    <w:next w:val="1"/>
    <w:semiHidden/>
    <w:qFormat/>
    <w:uiPriority w:val="0"/>
    <w:pPr>
      <w:autoSpaceDE/>
      <w:autoSpaceDN/>
      <w:adjustRightInd/>
      <w:ind w:left="1680"/>
    </w:pPr>
    <w:rPr>
      <w:rFonts w:ascii="Times New Roman"/>
      <w:kern w:val="2"/>
      <w:sz w:val="18"/>
      <w:szCs w:val="18"/>
    </w:rPr>
  </w:style>
  <w:style w:type="paragraph" w:styleId="38">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正文文本 Char"/>
    <w:link w:val="17"/>
    <w:qFormat/>
    <w:uiPriority w:val="0"/>
    <w:rPr>
      <w:rFonts w:eastAsia="宋体"/>
      <w:kern w:val="2"/>
      <w:sz w:val="44"/>
      <w:szCs w:val="24"/>
      <w:lang w:val="en-US" w:eastAsia="zh-CN" w:bidi="ar-SA"/>
    </w:rPr>
  </w:style>
  <w:style w:type="character" w:customStyle="1" w:styleId="48">
    <w:name w:val="正文缩进 Char"/>
    <w:link w:val="6"/>
    <w:qFormat/>
    <w:uiPriority w:val="0"/>
    <w:rPr>
      <w:rFonts w:ascii="宋体" w:eastAsia="宋体"/>
      <w:lang w:val="en-US" w:eastAsia="zh-CN" w:bidi="ar-SA"/>
    </w:rPr>
  </w:style>
  <w:style w:type="character" w:customStyle="1" w:styleId="49">
    <w:name w:val="标题 3 Char"/>
    <w:link w:val="4"/>
    <w:qFormat/>
    <w:uiPriority w:val="0"/>
    <w:rPr>
      <w:rFonts w:ascii="宋体" w:eastAsia="宋体"/>
      <w:b/>
      <w:bCs/>
      <w:sz w:val="32"/>
      <w:szCs w:val="32"/>
      <w:lang w:val="en-US" w:eastAsia="zh-CN" w:bidi="ar-SA"/>
    </w:rPr>
  </w:style>
  <w:style w:type="character" w:customStyle="1" w:styleId="50">
    <w:name w:val="apple-converted-space"/>
    <w:basedOn w:val="39"/>
    <w:qFormat/>
    <w:uiPriority w:val="0"/>
  </w:style>
  <w:style w:type="character" w:customStyle="1" w:styleId="51">
    <w:name w:val="标题 4 Char"/>
    <w:link w:val="5"/>
    <w:qFormat/>
    <w:uiPriority w:val="0"/>
    <w:rPr>
      <w:rFonts w:ascii="Arial" w:hAnsi="Arial" w:eastAsia="黑体" w:cs="Arial"/>
      <w:b/>
      <w:bCs/>
      <w:kern w:val="2"/>
      <w:sz w:val="28"/>
      <w:szCs w:val="28"/>
      <w:lang w:val="en-US" w:eastAsia="zh-CN" w:bidi="ar-SA"/>
    </w:rPr>
  </w:style>
  <w:style w:type="character" w:customStyle="1" w:styleId="52">
    <w:name w:val="kehuabt_ry1"/>
    <w:qFormat/>
    <w:uiPriority w:val="0"/>
    <w:rPr>
      <w:b/>
      <w:bCs/>
      <w:color w:val="1C7DA0"/>
      <w:sz w:val="21"/>
      <w:szCs w:val="21"/>
    </w:rPr>
  </w:style>
  <w:style w:type="character" w:customStyle="1" w:styleId="53">
    <w:name w:val="style51"/>
    <w:qFormat/>
    <w:uiPriority w:val="0"/>
    <w:rPr>
      <w:sz w:val="17"/>
      <w:szCs w:val="17"/>
    </w:rPr>
  </w:style>
  <w:style w:type="character" w:customStyle="1" w:styleId="54">
    <w:name w:val="小四 段落 宋体 Char Char"/>
    <w:link w:val="55"/>
    <w:qFormat/>
    <w:uiPriority w:val="0"/>
    <w:rPr>
      <w:rFonts w:ascii="仿宋_GB2312" w:eastAsia="仿宋_GB2312"/>
      <w:kern w:val="2"/>
      <w:sz w:val="30"/>
      <w:szCs w:val="30"/>
      <w:lang w:val="en-US" w:eastAsia="zh-CN" w:bidi="ar-SA"/>
    </w:rPr>
  </w:style>
  <w:style w:type="paragraph" w:customStyle="1" w:styleId="55">
    <w:name w:val="小四 段落 宋体 Char"/>
    <w:basedOn w:val="18"/>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39"/>
    <w:qFormat/>
    <w:uiPriority w:val="0"/>
  </w:style>
  <w:style w:type="character" w:customStyle="1" w:styleId="57">
    <w:name w:val="副标题 Char"/>
    <w:link w:val="32"/>
    <w:qFormat/>
    <w:uiPriority w:val="0"/>
    <w:rPr>
      <w:rFonts w:ascii="Cambria" w:hAnsi="Cambria"/>
      <w:b/>
      <w:bCs/>
      <w:kern w:val="28"/>
      <w:sz w:val="32"/>
      <w:szCs w:val="32"/>
    </w:rPr>
  </w:style>
  <w:style w:type="character" w:customStyle="1" w:styleId="58">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59">
    <w:name w:val="标题 1 Char"/>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9"/>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列出段落1"/>
    <w:basedOn w:val="1"/>
    <w:qFormat/>
    <w:uiPriority w:val="0"/>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 w:type="paragraph" w:customStyle="1" w:styleId="77">
    <w:name w:val="GP正文(首行缩进)"/>
    <w:basedOn w:val="1"/>
    <w:qFormat/>
    <w:uiPriority w:val="0"/>
    <w:pPr>
      <w:ind w:firstLine="200" w:firstLineChars="200"/>
    </w:pPr>
  </w:style>
  <w:style w:type="paragraph" w:customStyle="1" w:styleId="78">
    <w:name w:val="列出段落2"/>
    <w:basedOn w:val="1"/>
    <w:qFormat/>
    <w:uiPriority w:val="34"/>
    <w:pPr>
      <w:ind w:firstLine="420" w:firstLineChars="200"/>
    </w:pPr>
  </w:style>
  <w:style w:type="paragraph" w:customStyle="1" w:styleId="79">
    <w:name w:val="样式 首行缩进:  0 字符"/>
    <w:basedOn w:val="1"/>
    <w:qFormat/>
    <w:uiPriority w:val="0"/>
    <w:rPr>
      <w:rFonts w:ascii="Arial" w:hAnsi="Arial"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F8DE4-4BE6-4E26-B08B-A1758D2D9FE5}">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43</Pages>
  <Words>4377</Words>
  <Characters>24949</Characters>
  <Lines>207</Lines>
  <Paragraphs>58</Paragraphs>
  <TotalTime>0</TotalTime>
  <ScaleCrop>false</ScaleCrop>
  <LinksUpToDate>false</LinksUpToDate>
  <CharactersWithSpaces>29268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2017-01-10T11:26:00Z</dcterms:created>
  <dc:creator>雨林木风</dc:creator>
  <cp:lastModifiedBy>Administrator</cp:lastModifiedBy>
  <cp:lastPrinted>2017-01-04T07:49:00Z</cp:lastPrinted>
  <dcterms:modified xsi:type="dcterms:W3CDTF">2017-02-23T08:39:07Z</dcterms:modified>
  <dc:title>南京审计学院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