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Arial" w:hAnsi="Arial" w:cs="Arial"/>
          <w:b/>
          <w:kern w:val="0"/>
          <w:sz w:val="48"/>
          <w:szCs w:val="48"/>
        </w:rPr>
      </w:pPr>
    </w:p>
    <w:p>
      <w:pPr>
        <w:widowControl/>
        <w:shd w:val="clear" w:color="auto" w:fill="FFFFFF"/>
        <w:spacing w:line="360" w:lineRule="auto"/>
        <w:rPr>
          <w:rFonts w:ascii="Arial" w:hAnsi="Arial" w:cs="Arial"/>
          <w:b/>
          <w:kern w:val="0"/>
          <w:sz w:val="48"/>
          <w:szCs w:val="48"/>
        </w:rPr>
      </w:pPr>
    </w:p>
    <w:p>
      <w:pPr>
        <w:widowControl/>
        <w:spacing w:line="360" w:lineRule="auto"/>
        <w:jc w:val="center"/>
        <w:rPr>
          <w:rFonts w:ascii="Arial" w:hAnsi="宋体" w:cs="Arial"/>
          <w:b/>
          <w:kern w:val="0"/>
          <w:sz w:val="56"/>
          <w:szCs w:val="72"/>
        </w:rPr>
      </w:pPr>
      <w:r>
        <w:rPr>
          <w:rFonts w:hint="eastAsia" w:ascii="Arial" w:hAnsi="宋体" w:cs="Arial"/>
          <w:b/>
          <w:kern w:val="0"/>
          <w:sz w:val="56"/>
          <w:szCs w:val="72"/>
        </w:rPr>
        <w:t>南京审计大学人力资源管理信息系统</w:t>
      </w:r>
    </w:p>
    <w:p>
      <w:pPr>
        <w:widowControl/>
        <w:shd w:val="clear" w:color="auto" w:fill="FFFFFF"/>
        <w:spacing w:line="360" w:lineRule="auto"/>
        <w:rPr>
          <w:rFonts w:ascii="Arial" w:hAnsi="Arial" w:cs="Arial"/>
          <w:b/>
          <w:kern w:val="0"/>
          <w:sz w:val="32"/>
          <w:szCs w:val="32"/>
        </w:rPr>
      </w:pPr>
    </w:p>
    <w:p>
      <w:pPr>
        <w:widowControl/>
        <w:spacing w:line="360" w:lineRule="auto"/>
        <w:jc w:val="center"/>
        <w:rPr>
          <w:rFonts w:ascii="Arial" w:hAnsi="Arial" w:cs="Arial"/>
          <w:b/>
          <w:kern w:val="0"/>
          <w:sz w:val="72"/>
          <w:szCs w:val="72"/>
        </w:rPr>
      </w:pPr>
    </w:p>
    <w:p>
      <w:pPr>
        <w:widowControl/>
        <w:spacing w:line="360" w:lineRule="auto"/>
        <w:jc w:val="center"/>
        <w:rPr>
          <w:rFonts w:ascii="Arial" w:hAnsi="Arial" w:cs="Arial"/>
          <w:b/>
          <w:kern w:val="0"/>
          <w:sz w:val="72"/>
          <w:szCs w:val="72"/>
        </w:rPr>
      </w:pPr>
    </w:p>
    <w:p>
      <w:pPr>
        <w:widowControl/>
        <w:spacing w:line="360" w:lineRule="auto"/>
        <w:jc w:val="center"/>
        <w:rPr>
          <w:rFonts w:ascii="Arial" w:hAnsi="Arial" w:cs="Arial"/>
          <w:b/>
          <w:kern w:val="0"/>
          <w:sz w:val="72"/>
          <w:szCs w:val="72"/>
        </w:rPr>
      </w:pPr>
      <w:r>
        <w:rPr>
          <w:rFonts w:ascii="Arial" w:hAnsi="宋体" w:cs="Arial"/>
          <w:b/>
          <w:kern w:val="0"/>
          <w:sz w:val="72"/>
          <w:szCs w:val="72"/>
        </w:rPr>
        <w:t>招</w:t>
      </w:r>
      <w:r>
        <w:rPr>
          <w:rFonts w:ascii="Arial" w:hAnsi="Arial" w:cs="Arial"/>
          <w:b/>
          <w:kern w:val="0"/>
          <w:sz w:val="72"/>
          <w:szCs w:val="72"/>
        </w:rPr>
        <w:t xml:space="preserve"> </w:t>
      </w:r>
      <w:r>
        <w:rPr>
          <w:rFonts w:ascii="Arial" w:hAnsi="宋体" w:cs="Arial"/>
          <w:b/>
          <w:kern w:val="0"/>
          <w:sz w:val="72"/>
          <w:szCs w:val="72"/>
        </w:rPr>
        <w:t>标</w:t>
      </w:r>
      <w:r>
        <w:rPr>
          <w:rFonts w:ascii="Arial" w:hAnsi="Arial" w:cs="Arial"/>
          <w:b/>
          <w:kern w:val="0"/>
          <w:sz w:val="72"/>
          <w:szCs w:val="72"/>
        </w:rPr>
        <w:t xml:space="preserve"> </w:t>
      </w:r>
      <w:r>
        <w:rPr>
          <w:rFonts w:ascii="Arial" w:hAnsi="宋体" w:cs="Arial"/>
          <w:b/>
          <w:kern w:val="0"/>
          <w:sz w:val="72"/>
          <w:szCs w:val="72"/>
        </w:rPr>
        <w:t>文</w:t>
      </w:r>
      <w:r>
        <w:rPr>
          <w:rFonts w:ascii="Arial" w:hAnsi="Arial" w:cs="Arial"/>
          <w:b/>
          <w:kern w:val="0"/>
          <w:sz w:val="72"/>
          <w:szCs w:val="72"/>
        </w:rPr>
        <w:t xml:space="preserve"> </w:t>
      </w:r>
      <w:r>
        <w:rPr>
          <w:rFonts w:ascii="Arial" w:hAnsi="宋体" w:cs="Arial"/>
          <w:b/>
          <w:kern w:val="0"/>
          <w:sz w:val="72"/>
          <w:szCs w:val="72"/>
        </w:rPr>
        <w:t>件</w:t>
      </w: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r>
        <w:rPr>
          <w:rFonts w:ascii="Arial" w:hAnsi="宋体" w:cs="Arial"/>
          <w:b/>
          <w:kern w:val="0"/>
          <w:sz w:val="36"/>
          <w:szCs w:val="36"/>
        </w:rPr>
        <w:t>项目编号：</w:t>
      </w:r>
      <w:r>
        <w:rPr>
          <w:rFonts w:hint="eastAsia" w:ascii="宋体" w:hAnsi="宋体"/>
          <w:b/>
          <w:kern w:val="0"/>
          <w:sz w:val="36"/>
          <w:szCs w:val="36"/>
        </w:rPr>
        <w:t xml:space="preserve">023220M20XXX  </w:t>
      </w:r>
      <w:r>
        <w:rPr>
          <w:rFonts w:ascii="Arial" w:hAnsi="Arial" w:cs="Arial"/>
          <w:b/>
          <w:kern w:val="0"/>
          <w:sz w:val="36"/>
          <w:szCs w:val="36"/>
        </w:rPr>
        <w:t xml:space="preserve">  </w:t>
      </w:r>
    </w:p>
    <w:p>
      <w:pPr>
        <w:widowControl/>
        <w:spacing w:line="360" w:lineRule="auto"/>
        <w:jc w:val="center"/>
        <w:rPr>
          <w:rFonts w:ascii="Arial" w:hAnsi="Arial" w:cs="Arial"/>
          <w:b/>
          <w:kern w:val="0"/>
          <w:sz w:val="72"/>
          <w:szCs w:val="72"/>
        </w:rPr>
      </w:pPr>
    </w:p>
    <w:p>
      <w:pPr>
        <w:widowControl/>
        <w:shd w:val="clear" w:color="auto" w:fill="FFFFFF"/>
        <w:spacing w:line="360" w:lineRule="auto"/>
        <w:rPr>
          <w:rFonts w:ascii="Arial" w:hAnsi="Arial" w:cs="Arial"/>
          <w:kern w:val="0"/>
          <w:sz w:val="44"/>
          <w:szCs w:val="44"/>
        </w:rPr>
      </w:pPr>
      <w:r>
        <w:rPr>
          <w:rFonts w:ascii="Arial" w:hAnsi="Arial" w:cs="Arial"/>
          <w:kern w:val="0"/>
          <w:sz w:val="32"/>
          <w:szCs w:val="32"/>
        </w:rPr>
        <w:t>  </w:t>
      </w: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r>
        <w:rPr>
          <w:rFonts w:ascii="Arial" w:hAnsi="宋体" w:cs="Arial"/>
          <w:b/>
          <w:kern w:val="0"/>
          <w:sz w:val="36"/>
          <w:szCs w:val="36"/>
        </w:rPr>
        <w:t>江苏省设备成套股份有限公司</w:t>
      </w:r>
    </w:p>
    <w:p>
      <w:pPr>
        <w:widowControl/>
        <w:shd w:val="clear" w:color="auto" w:fill="FFFFFF"/>
        <w:spacing w:line="360" w:lineRule="auto"/>
        <w:jc w:val="center"/>
        <w:rPr>
          <w:rFonts w:ascii="Arial" w:hAnsi="Arial" w:cs="Arial"/>
          <w:b/>
          <w:kern w:val="0"/>
          <w:sz w:val="36"/>
          <w:szCs w:val="36"/>
        </w:rPr>
      </w:pPr>
      <w:r>
        <w:rPr>
          <w:rFonts w:hint="eastAsia" w:ascii="Arial" w:hAnsi="宋体" w:cs="Arial"/>
          <w:b/>
          <w:kern w:val="0"/>
          <w:sz w:val="36"/>
          <w:szCs w:val="36"/>
        </w:rPr>
        <w:t>2</w:t>
      </w:r>
      <w:r>
        <w:rPr>
          <w:rFonts w:ascii="Arial" w:hAnsi="宋体" w:cs="Arial"/>
          <w:b/>
          <w:kern w:val="0"/>
          <w:sz w:val="36"/>
          <w:szCs w:val="36"/>
        </w:rPr>
        <w:t>020年</w:t>
      </w:r>
      <w:r>
        <w:rPr>
          <w:rFonts w:hint="eastAsia" w:ascii="Arial" w:hAnsi="Arial" w:cs="Arial"/>
          <w:b/>
          <w:kern w:val="0"/>
          <w:sz w:val="36"/>
          <w:szCs w:val="36"/>
        </w:rPr>
        <w:t>1</w:t>
      </w:r>
      <w:r>
        <w:rPr>
          <w:rFonts w:hint="eastAsia" w:ascii="Arial" w:hAnsi="Arial" w:cs="Arial"/>
          <w:b/>
          <w:kern w:val="0"/>
          <w:sz w:val="36"/>
          <w:szCs w:val="36"/>
          <w:lang w:val="en-US" w:eastAsia="zh-CN"/>
        </w:rPr>
        <w:t>1</w:t>
      </w:r>
      <w:r>
        <w:rPr>
          <w:rFonts w:ascii="Arial" w:hAnsi="宋体" w:cs="Arial"/>
          <w:b/>
          <w:kern w:val="0"/>
          <w:sz w:val="36"/>
          <w:szCs w:val="36"/>
        </w:rPr>
        <w:t>月</w:t>
      </w:r>
    </w:p>
    <w:p>
      <w:pPr>
        <w:widowControl/>
        <w:shd w:val="clear" w:color="auto" w:fill="FFFFFF"/>
        <w:spacing w:line="360" w:lineRule="auto"/>
        <w:jc w:val="center"/>
        <w:rPr>
          <w:rFonts w:ascii="Arial" w:hAnsi="Arial" w:cs="Arial"/>
          <w:sz w:val="36"/>
          <w:szCs w:val="36"/>
        </w:rPr>
      </w:pPr>
      <w:r>
        <w:rPr>
          <w:rFonts w:ascii="Arial" w:hAnsi="Arial" w:cs="Arial"/>
          <w:b/>
          <w:kern w:val="0"/>
          <w:sz w:val="36"/>
          <w:szCs w:val="36"/>
        </w:rPr>
        <w:br w:type="page"/>
      </w:r>
      <w:r>
        <w:rPr>
          <w:rFonts w:ascii="Arial" w:hAnsi="宋体" w:cs="Arial"/>
          <w:sz w:val="36"/>
          <w:szCs w:val="36"/>
          <w:lang w:val="zh-CN"/>
        </w:rPr>
        <w:t>目</w:t>
      </w:r>
      <w:r>
        <w:rPr>
          <w:rFonts w:ascii="Arial" w:hAnsi="Arial" w:cs="Arial"/>
          <w:sz w:val="36"/>
          <w:szCs w:val="36"/>
          <w:lang w:val="zh-CN"/>
        </w:rPr>
        <w:t xml:space="preserve">  </w:t>
      </w:r>
      <w:r>
        <w:rPr>
          <w:rFonts w:ascii="Arial" w:hAnsi="宋体" w:cs="Arial"/>
          <w:sz w:val="36"/>
          <w:szCs w:val="36"/>
          <w:lang w:val="zh-CN"/>
        </w:rPr>
        <w:t>录</w:t>
      </w:r>
    </w:p>
    <w:p>
      <w:pPr>
        <w:pStyle w:val="31"/>
        <w:tabs>
          <w:tab w:val="right" w:leader="dot" w:pos="8296"/>
        </w:tabs>
        <w:rPr>
          <w:rFonts w:ascii="Arial" w:hAnsi="Arial" w:cs="Arial"/>
          <w:sz w:val="28"/>
          <w:szCs w:val="28"/>
        </w:rPr>
      </w:pPr>
    </w:p>
    <w:p>
      <w:pPr>
        <w:pStyle w:val="31"/>
        <w:tabs>
          <w:tab w:val="right" w:leader="dot" w:pos="8496"/>
        </w:tabs>
        <w:spacing w:line="480" w:lineRule="auto"/>
        <w:rPr>
          <w:rFonts w:ascii="Arial" w:hAnsi="Arial" w:cs="Arial" w:eastAsiaTheme="minorEastAsia"/>
          <w:sz w:val="24"/>
        </w:rPr>
      </w:pPr>
      <w:r>
        <w:rPr>
          <w:rFonts w:ascii="Arial" w:hAnsi="Arial" w:cs="Arial"/>
          <w:sz w:val="24"/>
        </w:rPr>
        <w:fldChar w:fldCharType="begin"/>
      </w:r>
      <w:r>
        <w:rPr>
          <w:rFonts w:ascii="Arial" w:hAnsi="Arial" w:cs="Arial"/>
          <w:sz w:val="24"/>
        </w:rPr>
        <w:instrText xml:space="preserve">TOC \o "1-1" \h \u </w:instrText>
      </w:r>
      <w:r>
        <w:rPr>
          <w:rFonts w:ascii="Arial" w:hAnsi="Arial" w:cs="Arial"/>
          <w:sz w:val="24"/>
        </w:rPr>
        <w:fldChar w:fldCharType="separate"/>
      </w:r>
      <w:r>
        <w:fldChar w:fldCharType="begin"/>
      </w:r>
      <w:r>
        <w:instrText xml:space="preserve"> HYPERLINK \l "_Toc43902848" </w:instrText>
      </w:r>
      <w:r>
        <w:fldChar w:fldCharType="separate"/>
      </w:r>
      <w:r>
        <w:rPr>
          <w:rStyle w:val="50"/>
          <w:rFonts w:ascii="Arial" w:hAnsi="Arial" w:cs="Arial"/>
          <w:color w:val="auto"/>
          <w:kern w:val="0"/>
          <w:sz w:val="24"/>
        </w:rPr>
        <w:t>第一章</w:t>
      </w:r>
      <w:r>
        <w:rPr>
          <w:rStyle w:val="50"/>
          <w:rFonts w:ascii="Arial" w:hAnsi="Arial" w:cs="Arial"/>
          <w:color w:val="auto"/>
          <w:sz w:val="24"/>
        </w:rPr>
        <w:t xml:space="preserve">  招标公告</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_Toc43902848 \h </w:instrText>
      </w:r>
      <w:r>
        <w:rPr>
          <w:rFonts w:ascii="Arial" w:hAnsi="Arial" w:cs="Arial"/>
          <w:sz w:val="24"/>
        </w:rPr>
        <w:fldChar w:fldCharType="separate"/>
      </w:r>
      <w:r>
        <w:rPr>
          <w:rFonts w:ascii="Arial" w:hAnsi="Arial" w:cs="Arial"/>
          <w:sz w:val="24"/>
        </w:rPr>
        <w:t>3</w:t>
      </w:r>
      <w:r>
        <w:rPr>
          <w:rFonts w:ascii="Arial" w:hAnsi="Arial" w:cs="Arial"/>
          <w:sz w:val="24"/>
        </w:rPr>
        <w:fldChar w:fldCharType="end"/>
      </w:r>
      <w:r>
        <w:rPr>
          <w:rFonts w:ascii="Arial" w:hAnsi="Arial" w:cs="Arial"/>
          <w:sz w:val="24"/>
        </w:rPr>
        <w:fldChar w:fldCharType="end"/>
      </w:r>
    </w:p>
    <w:p>
      <w:pPr>
        <w:pStyle w:val="31"/>
        <w:tabs>
          <w:tab w:val="right" w:leader="dot" w:pos="8496"/>
        </w:tabs>
        <w:spacing w:line="480" w:lineRule="auto"/>
        <w:rPr>
          <w:rFonts w:ascii="Arial" w:hAnsi="Arial" w:cs="Arial" w:eastAsiaTheme="minorEastAsia"/>
          <w:sz w:val="24"/>
        </w:rPr>
      </w:pPr>
      <w:r>
        <w:fldChar w:fldCharType="begin"/>
      </w:r>
      <w:r>
        <w:instrText xml:space="preserve"> HYPERLINK \l "_Toc43902849" </w:instrText>
      </w:r>
      <w:r>
        <w:fldChar w:fldCharType="separate"/>
      </w:r>
      <w:r>
        <w:rPr>
          <w:rStyle w:val="50"/>
          <w:rFonts w:ascii="Arial" w:hAnsi="Arial" w:cs="Arial"/>
          <w:color w:val="auto"/>
          <w:sz w:val="24"/>
        </w:rPr>
        <w:t>第二章  投标人须知</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_Toc43902849 \h </w:instrText>
      </w:r>
      <w:r>
        <w:rPr>
          <w:rFonts w:ascii="Arial" w:hAnsi="Arial" w:cs="Arial"/>
          <w:sz w:val="24"/>
        </w:rPr>
        <w:fldChar w:fldCharType="separate"/>
      </w:r>
      <w:r>
        <w:rPr>
          <w:rFonts w:ascii="Arial" w:hAnsi="Arial" w:cs="Arial"/>
          <w:sz w:val="24"/>
        </w:rPr>
        <w:t>8</w:t>
      </w:r>
      <w:r>
        <w:rPr>
          <w:rFonts w:ascii="Arial" w:hAnsi="Arial" w:cs="Arial"/>
          <w:sz w:val="24"/>
        </w:rPr>
        <w:fldChar w:fldCharType="end"/>
      </w:r>
      <w:r>
        <w:rPr>
          <w:rFonts w:ascii="Arial" w:hAnsi="Arial" w:cs="Arial"/>
          <w:sz w:val="24"/>
        </w:rPr>
        <w:fldChar w:fldCharType="end"/>
      </w:r>
    </w:p>
    <w:p>
      <w:pPr>
        <w:pStyle w:val="31"/>
        <w:tabs>
          <w:tab w:val="right" w:leader="dot" w:pos="8496"/>
        </w:tabs>
        <w:spacing w:line="480" w:lineRule="auto"/>
        <w:rPr>
          <w:rFonts w:ascii="Arial" w:hAnsi="Arial" w:cs="Arial" w:eastAsiaTheme="minorEastAsia"/>
          <w:sz w:val="24"/>
        </w:rPr>
      </w:pPr>
      <w:r>
        <w:fldChar w:fldCharType="begin"/>
      </w:r>
      <w:r>
        <w:instrText xml:space="preserve"> HYPERLINK \l "_Toc43902850" </w:instrText>
      </w:r>
      <w:r>
        <w:fldChar w:fldCharType="separate"/>
      </w:r>
      <w:r>
        <w:rPr>
          <w:rStyle w:val="50"/>
          <w:rFonts w:ascii="Arial" w:hAnsi="Arial" w:cs="Arial"/>
          <w:color w:val="auto"/>
          <w:kern w:val="0"/>
          <w:sz w:val="24"/>
        </w:rPr>
        <w:t>第三章  评标标准</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_Toc43902850 \h </w:instrText>
      </w:r>
      <w:r>
        <w:rPr>
          <w:rFonts w:ascii="Arial" w:hAnsi="Arial" w:cs="Arial"/>
          <w:sz w:val="24"/>
        </w:rPr>
        <w:fldChar w:fldCharType="separate"/>
      </w:r>
      <w:r>
        <w:rPr>
          <w:rFonts w:ascii="Arial" w:hAnsi="Arial" w:cs="Arial"/>
          <w:sz w:val="24"/>
        </w:rPr>
        <w:t>23</w:t>
      </w:r>
      <w:r>
        <w:rPr>
          <w:rFonts w:ascii="Arial" w:hAnsi="Arial" w:cs="Arial"/>
          <w:sz w:val="24"/>
        </w:rPr>
        <w:fldChar w:fldCharType="end"/>
      </w:r>
      <w:r>
        <w:rPr>
          <w:rFonts w:ascii="Arial" w:hAnsi="Arial" w:cs="Arial"/>
          <w:sz w:val="24"/>
        </w:rPr>
        <w:fldChar w:fldCharType="end"/>
      </w:r>
    </w:p>
    <w:p>
      <w:pPr>
        <w:pStyle w:val="31"/>
        <w:tabs>
          <w:tab w:val="right" w:leader="dot" w:pos="8496"/>
        </w:tabs>
        <w:spacing w:line="480" w:lineRule="auto"/>
        <w:rPr>
          <w:rFonts w:ascii="Arial" w:hAnsi="Arial" w:cs="Arial" w:eastAsiaTheme="minorEastAsia"/>
          <w:sz w:val="24"/>
        </w:rPr>
      </w:pPr>
      <w:r>
        <w:fldChar w:fldCharType="begin"/>
      </w:r>
      <w:r>
        <w:instrText xml:space="preserve"> HYPERLINK \l "_Toc43902851" </w:instrText>
      </w:r>
      <w:r>
        <w:fldChar w:fldCharType="separate"/>
      </w:r>
      <w:r>
        <w:rPr>
          <w:rStyle w:val="50"/>
          <w:rFonts w:ascii="Arial" w:hAnsi="Arial" w:cs="Arial"/>
          <w:color w:val="auto"/>
          <w:kern w:val="0"/>
          <w:sz w:val="24"/>
        </w:rPr>
        <w:t>第四章  采购需求</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_Toc43902851 \h </w:instrText>
      </w:r>
      <w:r>
        <w:rPr>
          <w:rFonts w:ascii="Arial" w:hAnsi="Arial" w:cs="Arial"/>
          <w:sz w:val="24"/>
        </w:rPr>
        <w:fldChar w:fldCharType="separate"/>
      </w:r>
      <w:r>
        <w:rPr>
          <w:rFonts w:ascii="Arial" w:hAnsi="Arial" w:cs="Arial"/>
          <w:sz w:val="24"/>
        </w:rPr>
        <w:t>24</w:t>
      </w:r>
      <w:r>
        <w:rPr>
          <w:rFonts w:ascii="Arial" w:hAnsi="Arial" w:cs="Arial"/>
          <w:sz w:val="24"/>
        </w:rPr>
        <w:fldChar w:fldCharType="end"/>
      </w:r>
      <w:r>
        <w:rPr>
          <w:rFonts w:ascii="Arial" w:hAnsi="Arial" w:cs="Arial"/>
          <w:sz w:val="24"/>
        </w:rPr>
        <w:fldChar w:fldCharType="end"/>
      </w:r>
    </w:p>
    <w:p>
      <w:pPr>
        <w:pStyle w:val="31"/>
        <w:tabs>
          <w:tab w:val="right" w:leader="dot" w:pos="8496"/>
        </w:tabs>
        <w:spacing w:line="480" w:lineRule="auto"/>
        <w:rPr>
          <w:rFonts w:ascii="Arial" w:hAnsi="Arial" w:cs="Arial" w:eastAsiaTheme="minorEastAsia"/>
          <w:sz w:val="24"/>
        </w:rPr>
      </w:pPr>
      <w:r>
        <w:fldChar w:fldCharType="begin"/>
      </w:r>
      <w:r>
        <w:instrText xml:space="preserve"> HYPERLINK \l "_Toc43902852" </w:instrText>
      </w:r>
      <w:r>
        <w:fldChar w:fldCharType="separate"/>
      </w:r>
      <w:r>
        <w:rPr>
          <w:rStyle w:val="50"/>
          <w:rFonts w:ascii="Arial" w:hAnsi="Arial" w:cs="Arial"/>
          <w:color w:val="auto"/>
          <w:sz w:val="24"/>
        </w:rPr>
        <w:t>第五章  主要条款及格式</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_Toc43902852 \h </w:instrText>
      </w:r>
      <w:r>
        <w:rPr>
          <w:rFonts w:ascii="Arial" w:hAnsi="Arial" w:cs="Arial"/>
          <w:sz w:val="24"/>
        </w:rPr>
        <w:fldChar w:fldCharType="separate"/>
      </w:r>
      <w:r>
        <w:rPr>
          <w:rFonts w:ascii="Arial" w:hAnsi="Arial" w:cs="Arial"/>
          <w:sz w:val="24"/>
        </w:rPr>
        <w:t>25</w:t>
      </w:r>
      <w:r>
        <w:rPr>
          <w:rFonts w:ascii="Arial" w:hAnsi="Arial" w:cs="Arial"/>
          <w:sz w:val="24"/>
        </w:rPr>
        <w:fldChar w:fldCharType="end"/>
      </w:r>
      <w:r>
        <w:rPr>
          <w:rFonts w:ascii="Arial" w:hAnsi="Arial" w:cs="Arial"/>
          <w:sz w:val="24"/>
        </w:rPr>
        <w:fldChar w:fldCharType="end"/>
      </w:r>
    </w:p>
    <w:p>
      <w:pPr>
        <w:pStyle w:val="31"/>
        <w:tabs>
          <w:tab w:val="right" w:leader="dot" w:pos="8496"/>
        </w:tabs>
        <w:spacing w:line="480" w:lineRule="auto"/>
        <w:rPr>
          <w:rFonts w:ascii="Arial" w:hAnsi="Arial" w:cs="Arial" w:eastAsiaTheme="minorEastAsia"/>
          <w:sz w:val="24"/>
        </w:rPr>
      </w:pPr>
      <w:r>
        <w:fldChar w:fldCharType="begin"/>
      </w:r>
      <w:r>
        <w:instrText xml:space="preserve"> HYPERLINK \l "_Toc43902853" </w:instrText>
      </w:r>
      <w:r>
        <w:fldChar w:fldCharType="separate"/>
      </w:r>
      <w:r>
        <w:rPr>
          <w:rStyle w:val="50"/>
          <w:rFonts w:ascii="Arial" w:hAnsi="Arial" w:cs="Arial"/>
          <w:color w:val="auto"/>
          <w:sz w:val="24"/>
        </w:rPr>
        <w:t>第六章  附件</w:t>
      </w:r>
      <w:r>
        <w:rPr>
          <w:rFonts w:ascii="Arial" w:hAnsi="Arial" w:cs="Arial"/>
          <w:sz w:val="24"/>
        </w:rPr>
        <w:tab/>
      </w:r>
      <w:r>
        <w:rPr>
          <w:rFonts w:ascii="Arial" w:hAnsi="Arial" w:cs="Arial"/>
          <w:sz w:val="24"/>
        </w:rPr>
        <w:fldChar w:fldCharType="begin"/>
      </w:r>
      <w:r>
        <w:rPr>
          <w:rFonts w:ascii="Arial" w:hAnsi="Arial" w:cs="Arial"/>
          <w:sz w:val="24"/>
        </w:rPr>
        <w:instrText xml:space="preserve"> PAGEREF _Toc43902853 \h </w:instrText>
      </w:r>
      <w:r>
        <w:rPr>
          <w:rFonts w:ascii="Arial" w:hAnsi="Arial" w:cs="Arial"/>
          <w:sz w:val="24"/>
        </w:rPr>
        <w:fldChar w:fldCharType="separate"/>
      </w:r>
      <w:r>
        <w:rPr>
          <w:rFonts w:ascii="Arial" w:hAnsi="Arial" w:cs="Arial"/>
          <w:sz w:val="24"/>
        </w:rPr>
        <w:t>26</w:t>
      </w:r>
      <w:r>
        <w:rPr>
          <w:rFonts w:ascii="Arial" w:hAnsi="Arial" w:cs="Arial"/>
          <w:sz w:val="24"/>
        </w:rPr>
        <w:fldChar w:fldCharType="end"/>
      </w:r>
      <w:r>
        <w:rPr>
          <w:rFonts w:ascii="Arial" w:hAnsi="Arial" w:cs="Arial"/>
          <w:sz w:val="24"/>
        </w:rPr>
        <w:fldChar w:fldCharType="end"/>
      </w:r>
    </w:p>
    <w:p>
      <w:pPr>
        <w:spacing w:line="480" w:lineRule="auto"/>
        <w:rPr>
          <w:rFonts w:ascii="Arial" w:hAnsi="Arial" w:cs="Arial"/>
          <w:sz w:val="28"/>
          <w:szCs w:val="28"/>
        </w:rPr>
      </w:pPr>
      <w:r>
        <w:rPr>
          <w:rFonts w:ascii="Arial" w:hAnsi="Arial" w:cs="Arial"/>
          <w:sz w:val="24"/>
        </w:rPr>
        <w:fldChar w:fldCharType="end"/>
      </w:r>
    </w:p>
    <w:p>
      <w:pPr>
        <w:widowControl/>
        <w:shd w:val="clear" w:color="auto" w:fill="FFFFFF"/>
        <w:spacing w:line="360" w:lineRule="auto"/>
        <w:jc w:val="center"/>
        <w:rPr>
          <w:rFonts w:ascii="Arial" w:hAnsi="Arial" w:cs="Arial"/>
          <w:b/>
          <w:kern w:val="0"/>
          <w:sz w:val="36"/>
          <w:szCs w:val="36"/>
        </w:rPr>
      </w:pPr>
    </w:p>
    <w:p>
      <w:pPr>
        <w:pStyle w:val="2"/>
        <w:rPr>
          <w:rFonts w:ascii="Arial" w:hAnsi="Arial" w:cs="Arial"/>
          <w:kern w:val="0"/>
          <w:szCs w:val="21"/>
        </w:rPr>
      </w:pPr>
      <w:r>
        <w:rPr>
          <w:rFonts w:ascii="Arial" w:hAnsi="Arial" w:cs="Arial"/>
          <w:kern w:val="0"/>
          <w:sz w:val="36"/>
          <w:szCs w:val="36"/>
          <w:shd w:val="clear" w:color="auto" w:fill="FFFFFF"/>
        </w:rPr>
        <w:br w:type="page"/>
      </w:r>
      <w:bookmarkStart w:id="0" w:name="_Toc481057143"/>
      <w:r>
        <w:rPr>
          <w:rFonts w:ascii="Arial" w:hAnsi="Arial" w:cs="Arial"/>
          <w:kern w:val="0"/>
          <w:sz w:val="36"/>
          <w:szCs w:val="36"/>
          <w:shd w:val="clear" w:color="auto" w:fill="FFFFFF"/>
        </w:rPr>
        <w:t xml:space="preserve">  </w:t>
      </w:r>
      <w:bookmarkStart w:id="1" w:name="_Toc43902848"/>
      <w:r>
        <w:rPr>
          <w:rFonts w:ascii="Arial" w:cs="Arial"/>
        </w:rPr>
        <w:t>招标公告</w:t>
      </w:r>
      <w:bookmarkEnd w:id="0"/>
      <w:bookmarkEnd w:id="1"/>
    </w:p>
    <w:p>
      <w:pPr>
        <w:widowControl/>
        <w:pBdr>
          <w:top w:val="single" w:color="auto" w:sz="4" w:space="1"/>
          <w:left w:val="single" w:color="auto" w:sz="4" w:space="4"/>
          <w:bottom w:val="single" w:color="auto" w:sz="4" w:space="1"/>
          <w:right w:val="single" w:color="auto" w:sz="4" w:space="4"/>
        </w:pBdr>
        <w:shd w:val="clear" w:color="auto" w:fill="FFFFFF" w:themeFill="background1"/>
        <w:spacing w:line="360" w:lineRule="auto"/>
        <w:ind w:firstLine="369"/>
        <w:rPr>
          <w:rFonts w:ascii="Arial" w:hAnsi="Arial" w:cs="Arial"/>
          <w:spacing w:val="8"/>
          <w:kern w:val="0"/>
          <w:szCs w:val="21"/>
        </w:rPr>
      </w:pPr>
      <w:r>
        <w:rPr>
          <w:rFonts w:hint="eastAsia" w:ascii="Arial" w:hAnsi="Arial" w:cs="Arial"/>
          <w:spacing w:val="8"/>
          <w:kern w:val="0"/>
          <w:szCs w:val="21"/>
        </w:rPr>
        <w:t>项目概况</w:t>
      </w:r>
    </w:p>
    <w:p>
      <w:pPr>
        <w:widowControl/>
        <w:pBdr>
          <w:top w:val="single" w:color="auto" w:sz="4" w:space="1"/>
          <w:left w:val="single" w:color="auto" w:sz="4" w:space="4"/>
          <w:bottom w:val="single" w:color="auto" w:sz="4" w:space="1"/>
          <w:right w:val="single" w:color="auto" w:sz="4" w:space="4"/>
        </w:pBdr>
        <w:shd w:val="clear" w:color="auto" w:fill="FFFFFF" w:themeFill="background1"/>
        <w:spacing w:line="360" w:lineRule="auto"/>
        <w:ind w:firstLine="369"/>
        <w:rPr>
          <w:rFonts w:ascii="Arial" w:hAnsi="Arial" w:cs="Arial"/>
          <w:spacing w:val="8"/>
          <w:kern w:val="0"/>
          <w:szCs w:val="21"/>
        </w:rPr>
      </w:pPr>
      <w:r>
        <w:rPr>
          <w:rFonts w:hint="eastAsia" w:ascii="Arial" w:hAnsi="Arial" w:cs="Arial"/>
          <w:spacing w:val="8"/>
          <w:kern w:val="0"/>
          <w:szCs w:val="21"/>
          <w:u w:val="single"/>
        </w:rPr>
        <w:t>南京审计大学人力资源管理信息系统</w:t>
      </w:r>
      <w:r>
        <w:rPr>
          <w:rFonts w:ascii="Arial" w:hAnsi="Arial" w:cs="Arial"/>
          <w:spacing w:val="8"/>
          <w:kern w:val="0"/>
          <w:szCs w:val="21"/>
        </w:rPr>
        <w:t>标项目的潜在投标人应在</w:t>
      </w:r>
      <w:r>
        <w:rPr>
          <w:rFonts w:ascii="Arial" w:hAnsi="Arial" w:cs="Arial"/>
          <w:bCs/>
          <w:szCs w:val="21"/>
          <w:u w:val="single"/>
        </w:rPr>
        <w:t>e交易平台（http://www.ejy365.com）</w:t>
      </w:r>
      <w:r>
        <w:rPr>
          <w:rFonts w:ascii="Arial" w:hAnsi="Arial" w:cs="Arial"/>
          <w:spacing w:val="8"/>
          <w:kern w:val="0"/>
          <w:szCs w:val="21"/>
        </w:rPr>
        <w:t>获取招标文件，并于</w:t>
      </w:r>
      <w:r>
        <w:rPr>
          <w:rFonts w:ascii="Arial" w:hAnsi="Arial" w:cs="Arial"/>
          <w:spacing w:val="8"/>
          <w:kern w:val="0"/>
          <w:szCs w:val="21"/>
          <w:u w:val="single"/>
        </w:rPr>
        <w:t> 2020年11月 日 14 点 00分（北京时间）</w:t>
      </w:r>
      <w:r>
        <w:rPr>
          <w:rFonts w:ascii="Arial" w:hAnsi="Arial" w:cs="Arial"/>
          <w:spacing w:val="8"/>
          <w:kern w:val="0"/>
          <w:szCs w:val="21"/>
        </w:rPr>
        <w:t>前递交投标文件。</w:t>
      </w:r>
    </w:p>
    <w:p>
      <w:pPr>
        <w:widowControl/>
        <w:shd w:val="clear" w:color="auto" w:fill="FFFFFF" w:themeFill="background1"/>
        <w:spacing w:line="360" w:lineRule="auto"/>
        <w:ind w:firstLine="369"/>
        <w:rPr>
          <w:rFonts w:ascii="Arial" w:hAnsi="Arial" w:cs="Arial"/>
          <w:spacing w:val="8"/>
          <w:kern w:val="0"/>
          <w:szCs w:val="21"/>
        </w:rPr>
      </w:pPr>
    </w:p>
    <w:p>
      <w:pPr>
        <w:widowControl/>
        <w:shd w:val="clear" w:color="auto" w:fill="FFFFFF" w:themeFill="background1"/>
        <w:spacing w:line="360" w:lineRule="auto"/>
        <w:rPr>
          <w:rFonts w:ascii="Arial" w:hAnsi="Arial" w:cs="Arial"/>
          <w:b/>
          <w:spacing w:val="8"/>
          <w:kern w:val="0"/>
          <w:sz w:val="24"/>
        </w:rPr>
      </w:pPr>
      <w:r>
        <w:rPr>
          <w:rFonts w:ascii="Arial" w:hAnsi="Arial" w:cs="Arial"/>
          <w:spacing w:val="8"/>
          <w:kern w:val="0"/>
          <w:sz w:val="24"/>
        </w:rPr>
        <w:t> </w:t>
      </w:r>
      <w:r>
        <w:rPr>
          <w:rFonts w:ascii="Arial" w:hAnsi="Arial" w:cs="Arial"/>
          <w:b/>
          <w:spacing w:val="8"/>
          <w:kern w:val="0"/>
          <w:sz w:val="24"/>
        </w:rPr>
        <w:t>一、项目基本情况</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1.1项目编号：</w:t>
      </w:r>
      <w:r>
        <w:rPr>
          <w:rFonts w:hint="eastAsia"/>
          <w:b/>
          <w:szCs w:val="21"/>
          <w:lang w:val="zh-CN"/>
        </w:rPr>
        <w:t xml:space="preserve">023220M20XXX  </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1.2项目名称：</w:t>
      </w:r>
      <w:r>
        <w:rPr>
          <w:rFonts w:hint="eastAsia"/>
          <w:b/>
          <w:szCs w:val="21"/>
          <w:lang w:val="zh-CN"/>
        </w:rPr>
        <w:t>南京审计大学人力资源管理信息系统</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1.3预算金额：</w:t>
      </w:r>
      <w:r>
        <w:rPr>
          <w:b/>
          <w:bCs/>
          <w:szCs w:val="21"/>
        </w:rPr>
        <w:t>95</w:t>
      </w:r>
      <w:r>
        <w:rPr>
          <w:rFonts w:hint="eastAsia"/>
          <w:b/>
          <w:bCs/>
          <w:szCs w:val="21"/>
        </w:rPr>
        <w:t>万元</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1.4最高限价：</w:t>
      </w:r>
      <w:r>
        <w:rPr>
          <w:b/>
          <w:bCs/>
          <w:szCs w:val="21"/>
        </w:rPr>
        <w:t>95</w:t>
      </w:r>
      <w:r>
        <w:rPr>
          <w:rFonts w:hint="eastAsia"/>
          <w:b/>
          <w:bCs/>
          <w:szCs w:val="21"/>
        </w:rPr>
        <w:t>万元</w:t>
      </w:r>
    </w:p>
    <w:p>
      <w:pPr>
        <w:spacing w:line="500" w:lineRule="exact"/>
        <w:ind w:firstLine="339" w:firstLineChars="150"/>
        <w:jc w:val="left"/>
        <w:rPr>
          <w:rFonts w:ascii="宋体" w:hAnsi="宋体" w:cs="楷体"/>
          <w:szCs w:val="21"/>
        </w:rPr>
      </w:pPr>
      <w:r>
        <w:rPr>
          <w:rFonts w:ascii="Arial" w:hAnsi="Arial" w:cs="Arial"/>
          <w:spacing w:val="8"/>
          <w:kern w:val="0"/>
          <w:szCs w:val="21"/>
        </w:rPr>
        <w:t>1.5采购需求：</w:t>
      </w:r>
      <w:r>
        <w:rPr>
          <w:rFonts w:hint="eastAsia" w:ascii="Arial" w:hAnsi="Arial" w:cs="Arial"/>
          <w:spacing w:val="8"/>
          <w:kern w:val="0"/>
          <w:szCs w:val="21"/>
        </w:rPr>
        <w:t>建设一个网络化的人事系统，向全校教职工开放，将各</w:t>
      </w:r>
      <w:r>
        <w:rPr>
          <w:rFonts w:ascii="Arial" w:hAnsi="Arial" w:cs="Arial"/>
          <w:spacing w:val="8"/>
          <w:kern w:val="0"/>
          <w:szCs w:val="21"/>
        </w:rPr>
        <w:t>部门</w:t>
      </w:r>
      <w:r>
        <w:rPr>
          <w:rFonts w:hint="eastAsia" w:ascii="Arial" w:hAnsi="Arial" w:cs="Arial"/>
          <w:spacing w:val="8"/>
          <w:kern w:val="0"/>
          <w:szCs w:val="21"/>
        </w:rPr>
        <w:t>和</w:t>
      </w:r>
      <w:r>
        <w:rPr>
          <w:rFonts w:ascii="Arial" w:hAnsi="Arial" w:cs="Arial"/>
          <w:spacing w:val="8"/>
          <w:kern w:val="0"/>
          <w:szCs w:val="21"/>
        </w:rPr>
        <w:t>各部门</w:t>
      </w:r>
      <w:r>
        <w:rPr>
          <w:rFonts w:hint="eastAsia" w:ascii="Arial" w:hAnsi="Arial" w:cs="Arial"/>
          <w:spacing w:val="8"/>
          <w:kern w:val="0"/>
          <w:szCs w:val="21"/>
        </w:rPr>
        <w:t>办事人员集中到一个统一的网络系统上协同办公。</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技术参数详见招标文件。</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1.6合同履行期限：</w:t>
      </w:r>
      <w:r>
        <w:rPr>
          <w:rFonts w:hint="eastAsia" w:ascii="Arial" w:hAnsi="Arial" w:cs="Arial"/>
          <w:spacing w:val="8"/>
          <w:kern w:val="0"/>
          <w:szCs w:val="21"/>
        </w:rPr>
        <w:t>供应商须在合同签订后</w:t>
      </w:r>
      <w:r>
        <w:rPr>
          <w:rFonts w:ascii="Arial" w:hAnsi="Arial" w:cs="Arial"/>
          <w:spacing w:val="8"/>
          <w:kern w:val="0"/>
          <w:szCs w:val="21"/>
        </w:rPr>
        <w:t>190</w:t>
      </w:r>
      <w:r>
        <w:rPr>
          <w:rFonts w:hint="eastAsia" w:ascii="Arial" w:hAnsi="Arial" w:cs="Arial"/>
          <w:spacing w:val="8"/>
          <w:kern w:val="0"/>
          <w:szCs w:val="21"/>
        </w:rPr>
        <w:t>个日历日内交付所有功能并接受验收。</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1.7本项目</w:t>
      </w:r>
      <w:r>
        <w:rPr>
          <w:rFonts w:hint="eastAsia" w:ascii="Arial" w:hAnsi="Arial" w:cs="Arial"/>
          <w:spacing w:val="8"/>
          <w:kern w:val="0"/>
          <w:szCs w:val="21"/>
        </w:rPr>
        <w:t>不</w:t>
      </w:r>
      <w:r>
        <w:rPr>
          <w:rFonts w:ascii="Arial" w:hAnsi="Arial" w:cs="Arial"/>
          <w:spacing w:val="8"/>
          <w:kern w:val="0"/>
          <w:szCs w:val="21"/>
        </w:rPr>
        <w:t>接受联合体投标。</w:t>
      </w:r>
    </w:p>
    <w:p>
      <w:pPr>
        <w:widowControl/>
        <w:shd w:val="clear" w:color="auto" w:fill="FFFFFF" w:themeFill="background1"/>
        <w:spacing w:line="360" w:lineRule="auto"/>
        <w:ind w:firstLine="370"/>
        <w:rPr>
          <w:rFonts w:ascii="Arial" w:hAnsi="Arial" w:cs="Arial"/>
          <w:spacing w:val="8"/>
          <w:kern w:val="0"/>
          <w:szCs w:val="21"/>
        </w:rPr>
      </w:pP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二、申请人的资格要求：</w:t>
      </w:r>
    </w:p>
    <w:p>
      <w:pPr>
        <w:widowControl/>
        <w:shd w:val="clear" w:color="auto" w:fill="FFFFFF" w:themeFill="background1"/>
        <w:spacing w:line="360" w:lineRule="auto"/>
        <w:ind w:firstLine="370"/>
        <w:rPr>
          <w:rFonts w:ascii="Arial" w:hAnsi="Arial" w:cs="Arial"/>
          <w:b/>
          <w:spacing w:val="8"/>
          <w:kern w:val="0"/>
          <w:szCs w:val="21"/>
        </w:rPr>
      </w:pPr>
      <w:r>
        <w:rPr>
          <w:rFonts w:ascii="Arial" w:hAnsi="Arial" w:cs="Arial"/>
          <w:b/>
          <w:spacing w:val="8"/>
          <w:kern w:val="0"/>
          <w:szCs w:val="21"/>
        </w:rPr>
        <w:t>2.1满足《中华人民共和国政府采购法》第二十二条规定；</w:t>
      </w:r>
    </w:p>
    <w:p>
      <w:pPr>
        <w:spacing w:line="360" w:lineRule="auto"/>
        <w:ind w:firstLine="424" w:firstLineChars="202"/>
        <w:rPr>
          <w:rFonts w:ascii="Arial" w:hAnsi="Arial" w:cs="Arial"/>
          <w:bCs/>
          <w:szCs w:val="21"/>
        </w:rPr>
      </w:pPr>
      <w:r>
        <w:rPr>
          <w:rFonts w:ascii="Arial" w:hAnsi="Arial" w:cs="Arial"/>
          <w:bCs/>
          <w:szCs w:val="21"/>
        </w:rPr>
        <w:t xml:space="preserve">（1）具有独立承担民事责任的能力（提供法人或者其他组织的营业执照；供应商为自然人的，提供其身份证）； </w:t>
      </w:r>
    </w:p>
    <w:p>
      <w:pPr>
        <w:spacing w:line="360" w:lineRule="auto"/>
        <w:ind w:firstLine="424" w:firstLineChars="202"/>
        <w:rPr>
          <w:rFonts w:ascii="Arial" w:hAnsi="Arial" w:cs="Arial"/>
          <w:bCs/>
          <w:szCs w:val="21"/>
        </w:rPr>
      </w:pPr>
      <w:r>
        <w:rPr>
          <w:rFonts w:ascii="Arial" w:hAnsi="Arial" w:cs="Arial"/>
          <w:bCs/>
          <w:szCs w:val="21"/>
        </w:rPr>
        <w:t>（2）具有良好的商业信誉和健全的财务会计制度（提供</w:t>
      </w:r>
      <w:r>
        <w:rPr>
          <w:rFonts w:ascii="Arial" w:hAnsi="Arial" w:cs="Arial"/>
          <w:bCs/>
          <w:szCs w:val="21"/>
          <w:u w:val="single"/>
        </w:rPr>
        <w:t xml:space="preserve"> 2019</w:t>
      </w:r>
      <w:r>
        <w:rPr>
          <w:rFonts w:ascii="Arial" w:hAnsi="Arial" w:cs="Arial"/>
          <w:bCs/>
          <w:szCs w:val="21"/>
        </w:rPr>
        <w:t>年</w:t>
      </w:r>
      <w:r>
        <w:t>度经审计的财</w:t>
      </w:r>
      <w:r>
        <w:rPr>
          <w:rFonts w:ascii="Arial" w:hAnsi="Arial" w:cs="Arial"/>
          <w:bCs/>
          <w:szCs w:val="21"/>
        </w:rPr>
        <w:t>务报告，或投标截止时间前六个月内银行出具的资信证明，或财政部门认可的政府采购专业担保机构出具的投标担保函）；</w:t>
      </w:r>
    </w:p>
    <w:p>
      <w:pPr>
        <w:spacing w:line="360" w:lineRule="auto"/>
        <w:ind w:firstLine="424" w:firstLineChars="202"/>
        <w:rPr>
          <w:rFonts w:ascii="Arial" w:hAnsi="Arial" w:cs="Arial"/>
          <w:bCs/>
          <w:szCs w:val="21"/>
        </w:rPr>
      </w:pPr>
      <w:r>
        <w:rPr>
          <w:rFonts w:ascii="Arial" w:hAnsi="Arial" w:cs="Arial"/>
          <w:bCs/>
          <w:szCs w:val="21"/>
        </w:rPr>
        <w:t>（3）具有履行合同所必需的设备和专业技术能力（供应商根据履行采购项目合同需要，提供履行合同所必需的设备和专业技术能力的证明材料）；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Arial" w:hAnsi="Arial" w:cs="Arial"/>
          <w:bCs/>
          <w:szCs w:val="21"/>
        </w:rPr>
      </w:pPr>
      <w:r>
        <w:rPr>
          <w:rFonts w:ascii="Arial" w:hAnsi="Arial" w:cs="Arial"/>
          <w:bCs/>
          <w:szCs w:val="21"/>
        </w:rPr>
        <w:t>（4）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24" w:firstLineChars="202"/>
        <w:rPr>
          <w:rFonts w:ascii="Arial" w:hAnsi="Arial" w:cs="Arial"/>
          <w:bCs/>
          <w:szCs w:val="21"/>
        </w:rPr>
      </w:pPr>
      <w:r>
        <w:rPr>
          <w:rFonts w:ascii="Arial" w:hAnsi="Arial" w:cs="Arial"/>
          <w:bCs/>
          <w:szCs w:val="21"/>
        </w:rPr>
        <w:t>（5）参加政府采购活动前三年内，在经营活动中没有重大违法记录（提供承诺书）；</w:t>
      </w:r>
    </w:p>
    <w:p>
      <w:pPr>
        <w:spacing w:line="360" w:lineRule="auto"/>
        <w:ind w:firstLine="424" w:firstLineChars="202"/>
        <w:rPr>
          <w:rFonts w:ascii="Arial" w:hAnsi="Arial" w:cs="Arial"/>
          <w:bCs/>
          <w:szCs w:val="21"/>
        </w:rPr>
      </w:pPr>
      <w:r>
        <w:rPr>
          <w:rFonts w:ascii="Arial" w:hAnsi="Arial" w:cs="Arial"/>
          <w:bCs/>
          <w:szCs w:val="21"/>
        </w:rPr>
        <w:t>（6）法律、行政法规规定的其他条件：无</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b/>
          <w:spacing w:val="8"/>
          <w:kern w:val="0"/>
          <w:szCs w:val="21"/>
        </w:rPr>
        <w:t>2.2落实政府采购政策需满足的资格要求：</w:t>
      </w:r>
      <w:r>
        <w:rPr>
          <w:rFonts w:ascii="Arial" w:hAnsi="Arial" w:cs="Arial"/>
          <w:spacing w:val="8"/>
          <w:kern w:val="0"/>
          <w:szCs w:val="21"/>
        </w:rPr>
        <w:t xml:space="preserve"> </w:t>
      </w:r>
      <w:r>
        <w:rPr>
          <w:rFonts w:hint="eastAsia" w:ascii="Arial" w:hAnsi="Arial" w:cs="Arial"/>
          <w:b/>
          <w:spacing w:val="8"/>
          <w:kern w:val="0"/>
          <w:szCs w:val="21"/>
        </w:rPr>
        <w:t>无</w:t>
      </w:r>
    </w:p>
    <w:p>
      <w:pPr>
        <w:widowControl/>
        <w:shd w:val="clear" w:color="auto" w:fill="FFFFFF" w:themeFill="background1"/>
        <w:spacing w:line="360" w:lineRule="auto"/>
        <w:ind w:firstLine="370"/>
        <w:rPr>
          <w:rFonts w:ascii="Arial" w:hAnsi="Arial" w:cs="Arial"/>
          <w:b/>
          <w:szCs w:val="21"/>
        </w:rPr>
      </w:pPr>
      <w:r>
        <w:rPr>
          <w:rFonts w:ascii="Arial" w:hAnsi="Arial" w:cs="Arial"/>
          <w:b/>
          <w:spacing w:val="8"/>
          <w:kern w:val="0"/>
          <w:szCs w:val="21"/>
        </w:rPr>
        <w:t>2.3</w:t>
      </w:r>
      <w:r>
        <w:rPr>
          <w:rFonts w:ascii="Arial" w:hAnsi="Arial" w:cs="Arial"/>
          <w:b/>
          <w:szCs w:val="21"/>
        </w:rPr>
        <w:t>采购人根据采购项目的特殊要求规定的特定条件，并提供符合特殊要求的证明材料或者情况说明：</w:t>
      </w:r>
      <w:r>
        <w:rPr>
          <w:rFonts w:hint="eastAsia" w:ascii="Arial" w:hAnsi="Arial" w:cs="Arial"/>
          <w:b/>
          <w:szCs w:val="21"/>
        </w:rPr>
        <w:t>无</w:t>
      </w:r>
    </w:p>
    <w:p>
      <w:pPr>
        <w:spacing w:line="360" w:lineRule="auto"/>
        <w:ind w:firstLine="456" w:firstLineChars="202"/>
        <w:rPr>
          <w:rFonts w:ascii="Arial" w:hAnsi="Arial" w:cs="Arial"/>
          <w:bCs/>
          <w:szCs w:val="21"/>
        </w:rPr>
      </w:pPr>
      <w:r>
        <w:rPr>
          <w:rFonts w:ascii="Arial" w:hAnsi="Arial" w:cs="Arial"/>
          <w:spacing w:val="8"/>
          <w:kern w:val="0"/>
          <w:szCs w:val="21"/>
        </w:rPr>
        <w:t>2.4</w:t>
      </w:r>
      <w:r>
        <w:rPr>
          <w:rFonts w:ascii="Arial" w:hAnsi="Arial" w:cs="Arial"/>
          <w:bCs/>
          <w:szCs w:val="21"/>
        </w:rPr>
        <w:t>第2.1（5）条所称重大违法记录，是指供应商因违法经营受到刑事处罚或者责令停产停业、吊销许可证或者执照、较大数额罚款等行政处罚。</w:t>
      </w:r>
    </w:p>
    <w:p>
      <w:pPr>
        <w:spacing w:line="360" w:lineRule="auto"/>
        <w:ind w:firstLine="424" w:firstLineChars="202"/>
        <w:rPr>
          <w:rFonts w:ascii="Arial" w:hAnsi="Arial" w:cs="Arial"/>
          <w:bCs/>
          <w:szCs w:val="21"/>
        </w:rPr>
      </w:pPr>
      <w:r>
        <w:rPr>
          <w:rFonts w:ascii="Arial" w:hAnsi="Arial" w:cs="Arial"/>
          <w:bCs/>
          <w:szCs w:val="21"/>
        </w:rPr>
        <w:t>2.5 供应商在参加政府采购活动前3年内因违法经营被禁止在一定期限内参加政府采购活动，期限届满的，可以参加政府采购活动。</w:t>
      </w:r>
    </w:p>
    <w:p>
      <w:pPr>
        <w:spacing w:line="360" w:lineRule="auto"/>
        <w:ind w:firstLine="424" w:firstLineChars="202"/>
        <w:rPr>
          <w:rFonts w:ascii="Arial" w:hAnsi="Arial" w:cs="Arial"/>
          <w:bCs/>
          <w:szCs w:val="21"/>
        </w:rPr>
      </w:pPr>
      <w:r>
        <w:rPr>
          <w:rFonts w:ascii="Arial" w:hAnsi="Arial" w:cs="Arial"/>
          <w:bCs/>
          <w:szCs w:val="21"/>
        </w:rPr>
        <w:t>2.6单位负责人为同一人或者存在直接控股、管理关系的不同供应商，不得参加同一合同项下的政府采购活动。</w:t>
      </w:r>
    </w:p>
    <w:p>
      <w:pPr>
        <w:spacing w:line="360" w:lineRule="auto"/>
        <w:ind w:firstLine="424" w:firstLineChars="202"/>
        <w:rPr>
          <w:rFonts w:ascii="Arial" w:hAnsi="Arial" w:cs="Arial"/>
          <w:bCs/>
          <w:szCs w:val="21"/>
        </w:rPr>
      </w:pPr>
      <w:r>
        <w:rPr>
          <w:rFonts w:ascii="Arial" w:hAnsi="Arial" w:cs="Arial"/>
          <w:bCs/>
          <w:szCs w:val="21"/>
        </w:rPr>
        <w:t>为采购项目提供整体设计、规范编制或者项目管理、监理、检测等服务的供应商，不得再参加该采购项目的其他采购活动。</w:t>
      </w:r>
    </w:p>
    <w:p>
      <w:pPr>
        <w:spacing w:line="360" w:lineRule="auto"/>
        <w:ind w:firstLine="424" w:firstLineChars="202"/>
        <w:rPr>
          <w:rFonts w:ascii="Arial" w:hAnsi="Arial" w:cs="Arial"/>
          <w:bCs/>
          <w:szCs w:val="21"/>
        </w:rPr>
      </w:pPr>
      <w:r>
        <w:rPr>
          <w:rFonts w:ascii="Arial" w:hAnsi="Arial" w:cs="Arial"/>
          <w:bCs/>
          <w:szCs w:val="21"/>
        </w:rPr>
        <w:t>2.7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20" w:firstLineChars="200"/>
        <w:rPr>
          <w:rFonts w:ascii="Arial" w:hAnsi="Arial" w:cs="Arial"/>
          <w:bCs/>
          <w:szCs w:val="21"/>
        </w:rPr>
      </w:pP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三、获取招标文件</w:t>
      </w:r>
    </w:p>
    <w:p>
      <w:pPr>
        <w:spacing w:line="360" w:lineRule="auto"/>
        <w:ind w:firstLine="420" w:firstLineChars="200"/>
        <w:rPr>
          <w:rFonts w:ascii="Arial" w:hAnsi="Arial" w:cs="Arial"/>
          <w:szCs w:val="21"/>
        </w:rPr>
      </w:pPr>
      <w:r>
        <w:rPr>
          <w:rFonts w:ascii="Arial" w:hAnsi="Arial" w:cs="Arial"/>
          <w:szCs w:val="21"/>
        </w:rPr>
        <w:t>3</w:t>
      </w:r>
      <w:r>
        <w:rPr>
          <w:rFonts w:hint="eastAsia" w:ascii="Arial" w:hAnsi="Arial" w:cs="Arial"/>
          <w:szCs w:val="21"/>
        </w:rPr>
        <w:t>.1</w:t>
      </w:r>
      <w:r>
        <w:rPr>
          <w:rFonts w:ascii="Arial" w:hAnsi="Arial" w:cs="Arial"/>
          <w:szCs w:val="21"/>
        </w:rPr>
        <w:t>获取时间：从</w:t>
      </w:r>
      <w:r>
        <w:rPr>
          <w:rFonts w:ascii="Arial" w:hAnsi="Arial" w:cs="Arial"/>
          <w:u w:val="single" w:color="000000"/>
        </w:rPr>
        <w:t xml:space="preserve"> 2020 </w:t>
      </w:r>
      <w:r>
        <w:rPr>
          <w:rFonts w:ascii="Arial" w:hAnsi="Arial" w:cs="Arial"/>
          <w:spacing w:val="8"/>
          <w:kern w:val="0"/>
          <w:szCs w:val="21"/>
        </w:rPr>
        <w:t>年</w:t>
      </w:r>
      <w:r>
        <w:rPr>
          <w:rFonts w:ascii="Arial" w:hAnsi="Arial" w:cs="Arial"/>
          <w:u w:val="single" w:color="000000"/>
        </w:rPr>
        <w:t xml:space="preserve"> 11 </w:t>
      </w:r>
      <w:r>
        <w:rPr>
          <w:rFonts w:ascii="Arial" w:hAnsi="Arial" w:cs="Arial"/>
          <w:spacing w:val="8"/>
          <w:kern w:val="0"/>
          <w:szCs w:val="21"/>
        </w:rPr>
        <w:t>月</w:t>
      </w:r>
      <w:r>
        <w:rPr>
          <w:rFonts w:ascii="Arial" w:hAnsi="Arial" w:cs="Arial"/>
          <w:u w:val="single" w:color="000000"/>
        </w:rPr>
        <w:t xml:space="preserve">  </w:t>
      </w:r>
      <w:r>
        <w:rPr>
          <w:rFonts w:ascii="Arial" w:hAnsi="Arial" w:cs="Arial"/>
          <w:spacing w:val="8"/>
          <w:kern w:val="0"/>
          <w:szCs w:val="21"/>
        </w:rPr>
        <w:t>日</w:t>
      </w:r>
      <w:r>
        <w:rPr>
          <w:rFonts w:ascii="Arial" w:hAnsi="Arial" w:cs="Arial"/>
          <w:u w:val="single" w:color="000000"/>
        </w:rPr>
        <w:t xml:space="preserve">  9 </w:t>
      </w:r>
      <w:r>
        <w:rPr>
          <w:rFonts w:ascii="Arial" w:hAnsi="Arial" w:cs="Arial"/>
          <w:spacing w:val="8"/>
          <w:kern w:val="0"/>
          <w:szCs w:val="21"/>
        </w:rPr>
        <w:t>点</w:t>
      </w:r>
      <w:r>
        <w:rPr>
          <w:rFonts w:ascii="Arial" w:hAnsi="Arial" w:cs="Arial"/>
          <w:u w:val="single" w:color="000000"/>
        </w:rPr>
        <w:t xml:space="preserve">  00 </w:t>
      </w:r>
      <w:r>
        <w:rPr>
          <w:rFonts w:ascii="Arial" w:hAnsi="Arial" w:cs="Arial"/>
          <w:spacing w:val="8"/>
          <w:kern w:val="0"/>
          <w:szCs w:val="21"/>
        </w:rPr>
        <w:t>分（北京时间）</w:t>
      </w:r>
      <w:r>
        <w:rPr>
          <w:rFonts w:ascii="Arial" w:hAnsi="Arial" w:cs="Arial"/>
          <w:szCs w:val="21"/>
        </w:rPr>
        <w:t>到</w:t>
      </w:r>
      <w:r>
        <w:rPr>
          <w:rFonts w:ascii="Arial" w:hAnsi="Arial" w:cs="Arial"/>
          <w:u w:val="single" w:color="000000"/>
        </w:rPr>
        <w:t xml:space="preserve"> 2020 </w:t>
      </w:r>
      <w:r>
        <w:rPr>
          <w:rFonts w:ascii="Arial" w:hAnsi="Arial" w:cs="Arial"/>
          <w:spacing w:val="8"/>
          <w:kern w:val="0"/>
          <w:szCs w:val="21"/>
        </w:rPr>
        <w:t>年</w:t>
      </w:r>
      <w:r>
        <w:rPr>
          <w:rFonts w:ascii="Arial" w:hAnsi="Arial" w:cs="Arial"/>
          <w:u w:val="single" w:color="000000"/>
        </w:rPr>
        <w:t xml:space="preserve">  11 </w:t>
      </w:r>
      <w:r>
        <w:rPr>
          <w:rFonts w:ascii="Arial" w:hAnsi="Arial" w:cs="Arial"/>
          <w:spacing w:val="8"/>
          <w:kern w:val="0"/>
          <w:szCs w:val="21"/>
        </w:rPr>
        <w:t>月</w:t>
      </w:r>
      <w:r>
        <w:rPr>
          <w:rFonts w:ascii="Arial" w:hAnsi="Arial" w:cs="Arial"/>
          <w:u w:val="single" w:color="000000"/>
        </w:rPr>
        <w:t xml:space="preserve">    </w:t>
      </w:r>
      <w:r>
        <w:rPr>
          <w:rFonts w:ascii="Arial" w:hAnsi="Arial" w:cs="Arial"/>
          <w:spacing w:val="8"/>
          <w:kern w:val="0"/>
          <w:szCs w:val="21"/>
        </w:rPr>
        <w:t>日</w:t>
      </w:r>
      <w:r>
        <w:rPr>
          <w:rFonts w:ascii="Arial" w:hAnsi="Arial" w:cs="Arial"/>
          <w:u w:val="single" w:color="000000"/>
        </w:rPr>
        <w:t xml:space="preserve">  17 </w:t>
      </w:r>
      <w:r>
        <w:rPr>
          <w:rFonts w:ascii="Arial" w:hAnsi="Arial" w:cs="Arial"/>
          <w:spacing w:val="8"/>
          <w:kern w:val="0"/>
          <w:szCs w:val="21"/>
        </w:rPr>
        <w:t>点</w:t>
      </w:r>
      <w:r>
        <w:rPr>
          <w:rFonts w:ascii="Arial" w:hAnsi="Arial" w:cs="Arial"/>
          <w:u w:val="single" w:color="000000"/>
        </w:rPr>
        <w:t xml:space="preserve">  00 </w:t>
      </w:r>
      <w:r>
        <w:rPr>
          <w:rFonts w:ascii="Arial" w:hAnsi="Arial" w:cs="Arial"/>
          <w:spacing w:val="8"/>
          <w:kern w:val="0"/>
          <w:szCs w:val="21"/>
        </w:rPr>
        <w:t>分（北京时间）</w:t>
      </w:r>
      <w:r>
        <w:rPr>
          <w:rFonts w:hint="eastAsia" w:ascii="Arial" w:hAnsi="Arial" w:cs="Arial"/>
          <w:szCs w:val="21"/>
        </w:rPr>
        <w:t>。</w:t>
      </w:r>
    </w:p>
    <w:p>
      <w:pPr>
        <w:spacing w:line="360" w:lineRule="auto"/>
        <w:ind w:firstLine="420" w:firstLineChars="200"/>
        <w:rPr>
          <w:rFonts w:ascii="Arial" w:hAnsi="Arial" w:cs="Arial"/>
          <w:sz w:val="20"/>
          <w:szCs w:val="21"/>
          <w:u w:val="single"/>
        </w:rPr>
      </w:pPr>
      <w:r>
        <w:rPr>
          <w:rFonts w:ascii="Arial" w:hAnsi="Arial" w:cs="Arial"/>
          <w:szCs w:val="21"/>
        </w:rPr>
        <w:t>3.2 地点：</w:t>
      </w:r>
      <w:r>
        <w:rPr>
          <w:rFonts w:ascii="宋体" w:hAnsi="宋体" w:cs="宋体"/>
          <w:sz w:val="22"/>
          <w:u w:val="single"/>
        </w:rPr>
        <w:t>e交易平台（http://www.ejy365.com）</w:t>
      </w:r>
    </w:p>
    <w:p>
      <w:pPr>
        <w:widowControl/>
        <w:shd w:val="clear" w:color="auto" w:fill="FFFFFF"/>
        <w:spacing w:line="360" w:lineRule="auto"/>
        <w:ind w:firstLine="420" w:firstLineChars="200"/>
        <w:rPr>
          <w:rFonts w:ascii="Arial" w:hAnsi="Arial" w:cs="Arial"/>
          <w:snapToGrid w:val="0"/>
          <w:kern w:val="0"/>
          <w:szCs w:val="21"/>
        </w:rPr>
      </w:pPr>
      <w:r>
        <w:rPr>
          <w:rFonts w:ascii="Arial" w:hAnsi="Arial" w:cs="Arial"/>
          <w:szCs w:val="21"/>
        </w:rPr>
        <w:t>3.3 方式：</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1</w:t>
      </w:r>
      <w:r>
        <w:rPr>
          <w:rFonts w:ascii="Arial" w:hAnsi="Arial" w:cs="Arial"/>
          <w:bCs/>
          <w:szCs w:val="21"/>
        </w:rPr>
        <w:t>）凡有意参加投标者，请于获取时间内(北京时间，下同)，登陆e交易平台（http://www.ejy365.com）按照要求进行实名会员注册、完善相关信息及选择项目报名、下载招标文件</w:t>
      </w:r>
      <w:r>
        <w:rPr>
          <w:rFonts w:hint="eastAsia" w:ascii="Arial" w:hAnsi="Arial" w:cs="Arial"/>
          <w:bCs/>
          <w:szCs w:val="21"/>
        </w:rPr>
        <w:t>,</w:t>
      </w:r>
      <w:r>
        <w:rPr>
          <w:rFonts w:ascii="Arial" w:hAnsi="Arial" w:cs="Arial"/>
          <w:bCs/>
          <w:szCs w:val="21"/>
        </w:rPr>
        <w:t>招标文件</w:t>
      </w:r>
      <w:r>
        <w:rPr>
          <w:rFonts w:hint="eastAsia" w:ascii="Arial" w:hAnsi="Arial" w:cs="Arial"/>
          <w:bCs/>
          <w:szCs w:val="21"/>
        </w:rPr>
        <w:t>服务费</w:t>
      </w:r>
      <w:r>
        <w:rPr>
          <w:rFonts w:ascii="Arial" w:hAnsi="Arial" w:cs="Arial"/>
          <w:bCs/>
          <w:szCs w:val="21"/>
          <w:u w:val="single"/>
        </w:rPr>
        <w:t>500_</w:t>
      </w:r>
      <w:r>
        <w:rPr>
          <w:rFonts w:ascii="Arial" w:hAnsi="Arial" w:cs="Arial"/>
          <w:bCs/>
          <w:szCs w:val="21"/>
        </w:rPr>
        <w:t>元，</w:t>
      </w:r>
      <w:r>
        <w:rPr>
          <w:rFonts w:hint="eastAsia" w:ascii="Arial" w:hAnsi="Arial" w:cs="Arial"/>
          <w:bCs/>
          <w:szCs w:val="21"/>
        </w:rPr>
        <w:t>下载</w:t>
      </w:r>
      <w:r>
        <w:rPr>
          <w:rFonts w:ascii="Arial" w:hAnsi="Arial" w:cs="Arial"/>
          <w:bCs/>
          <w:szCs w:val="21"/>
        </w:rPr>
        <w:t>后不退。</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2</w:t>
      </w:r>
      <w:r>
        <w:rPr>
          <w:rFonts w:ascii="Arial" w:hAnsi="Arial" w:cs="Arial"/>
          <w:bCs/>
          <w:szCs w:val="21"/>
        </w:rPr>
        <w:t>）平台网址为：http://www.ejy365.com。下载者首次登陆平台前，须前往平台免费注册，注册成功且完善相关信息后，可以及时参与平台上所有发布的项目；平台服务费100元。</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3</w:t>
      </w:r>
      <w:r>
        <w:rPr>
          <w:rFonts w:ascii="Arial" w:hAnsi="Arial" w:cs="Arial"/>
          <w:bCs/>
          <w:szCs w:val="21"/>
        </w:rPr>
        <w:t>） 下载者应充分考虑平台注册、信息检查、资料上传、购标确认、费用支付所需时间，下载者必须在获取时间内完成支付，否则将无法保证获取招标文件。未按照本公告要求获得本项目招标文件的，招标代理机构不予接收其投标文件。</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4</w:t>
      </w:r>
      <w:r>
        <w:rPr>
          <w:rFonts w:ascii="Arial" w:hAnsi="Arial" w:cs="Arial"/>
          <w:bCs/>
          <w:szCs w:val="21"/>
        </w:rPr>
        <w:t>）下载者需要发票的，须通过平台“资金管理”模块进行操作。招标文件</w:t>
      </w:r>
      <w:r>
        <w:rPr>
          <w:rFonts w:hint="eastAsia" w:ascii="Arial" w:hAnsi="Arial" w:cs="Arial"/>
          <w:bCs/>
          <w:szCs w:val="21"/>
        </w:rPr>
        <w:t>服务</w:t>
      </w:r>
      <w:r>
        <w:rPr>
          <w:rFonts w:ascii="Arial" w:hAnsi="Arial" w:cs="Arial"/>
          <w:bCs/>
          <w:szCs w:val="21"/>
        </w:rPr>
        <w:t>费</w:t>
      </w:r>
      <w:r>
        <w:rPr>
          <w:rFonts w:hint="eastAsia" w:ascii="Arial" w:hAnsi="Arial" w:cs="Arial"/>
          <w:bCs/>
          <w:szCs w:val="21"/>
        </w:rPr>
        <w:t>发票</w:t>
      </w:r>
      <w:r>
        <w:rPr>
          <w:rFonts w:ascii="Arial" w:hAnsi="Arial" w:cs="Arial"/>
          <w:bCs/>
          <w:szCs w:val="21"/>
        </w:rPr>
        <w:t>由招标代理机构开具；下载者选择开具增值税普通发票的，可在”资金管理--标书费电子发票”下载增值税电子普通发票；选择开具增值税专用发票的，可在”资金管理--专用发票申请”中填写相关信息；平台</w:t>
      </w:r>
      <w:r>
        <w:rPr>
          <w:rFonts w:hint="eastAsia" w:ascii="Arial" w:hAnsi="Arial" w:cs="Arial"/>
          <w:bCs/>
          <w:szCs w:val="21"/>
        </w:rPr>
        <w:t>服务</w:t>
      </w:r>
      <w:r>
        <w:rPr>
          <w:rFonts w:ascii="Arial" w:hAnsi="Arial" w:cs="Arial"/>
          <w:bCs/>
          <w:szCs w:val="21"/>
        </w:rPr>
        <w:t>费发票由江苏易交易信息科技有限公司开具。非因招标代理机构或平台原因，发票一经开具不予退换。</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5</w:t>
      </w:r>
      <w:r>
        <w:rPr>
          <w:rFonts w:ascii="Arial" w:hAnsi="Arial" w:cs="Arial"/>
          <w:bCs/>
          <w:szCs w:val="21"/>
        </w:rPr>
        <w:t>）平台网站首页“帮助中心”提供操作手册，下载者可以下载并根据操作手册提示进行注册、登录等操作。</w:t>
      </w:r>
      <w:r>
        <w:rPr>
          <w:rFonts w:hint="eastAsia" w:ascii="Arial" w:hAnsi="Arial" w:cs="Arial"/>
          <w:bCs/>
          <w:szCs w:val="21"/>
        </w:rPr>
        <w:t>客服1：18505197661，客服2：17712326221，客服3：13306118316，客服投诉电话：13306118316。平台会通过短信提醒下载者进行注册、支付、下载等操作。</w:t>
      </w:r>
    </w:p>
    <w:p>
      <w:pPr>
        <w:spacing w:line="360" w:lineRule="auto"/>
        <w:ind w:firstLine="420" w:firstLineChars="200"/>
        <w:rPr>
          <w:rFonts w:ascii="Arial" w:hAnsi="Arial" w:cs="Arial"/>
          <w:bCs/>
          <w:szCs w:val="21"/>
        </w:rPr>
      </w:pPr>
      <w:r>
        <w:rPr>
          <w:rFonts w:ascii="Arial" w:hAnsi="Arial" w:cs="Arial"/>
          <w:bCs/>
          <w:szCs w:val="21"/>
        </w:rPr>
        <w:t>（</w:t>
      </w:r>
      <w:r>
        <w:rPr>
          <w:rFonts w:hint="eastAsia" w:ascii="Arial" w:hAnsi="Arial" w:cs="Arial"/>
          <w:bCs/>
          <w:szCs w:val="21"/>
        </w:rPr>
        <w:t>6</w:t>
      </w:r>
      <w:r>
        <w:rPr>
          <w:rFonts w:ascii="Arial" w:hAnsi="Arial" w:cs="Arial"/>
          <w:bCs/>
          <w:szCs w:val="21"/>
        </w:rPr>
        <w:t>）联合体投标（如允许）的，联合体各方应当指定牵头人，并授权其以自身名义在平台办理注册、</w:t>
      </w:r>
      <w:r>
        <w:rPr>
          <w:rFonts w:hint="eastAsia" w:ascii="Arial" w:hAnsi="Arial" w:cs="Arial"/>
          <w:bCs/>
          <w:szCs w:val="21"/>
        </w:rPr>
        <w:t>下载</w:t>
      </w:r>
      <w:r>
        <w:rPr>
          <w:rFonts w:ascii="Arial" w:hAnsi="Arial" w:cs="Arial"/>
          <w:bCs/>
          <w:szCs w:val="21"/>
        </w:rPr>
        <w:t>文件、缴纳保证金等手续，其在平台的办理行为，对联合体各方均具有约束力</w:t>
      </w:r>
      <w:r>
        <w:rPr>
          <w:rFonts w:ascii="Arial" w:hAnsi="Arial" w:cs="Arial"/>
          <w:szCs w:val="21"/>
        </w:rPr>
        <w:t>。</w:t>
      </w:r>
    </w:p>
    <w:p>
      <w:pPr>
        <w:widowControl/>
        <w:shd w:val="clear" w:color="auto" w:fill="FFFFFF" w:themeFill="background1"/>
        <w:spacing w:line="360" w:lineRule="auto"/>
        <w:ind w:firstLine="360"/>
        <w:rPr>
          <w:rFonts w:ascii="Arial" w:hAnsi="Arial" w:cs="Arial"/>
          <w:spacing w:val="8"/>
          <w:kern w:val="0"/>
          <w:szCs w:val="21"/>
        </w:rPr>
      </w:pP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四、提交投标文件截止时间、开标时间和地点</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4.1</w:t>
      </w:r>
      <w:r>
        <w:rPr>
          <w:rFonts w:hint="eastAsia" w:ascii="Arial" w:hAnsi="Arial" w:cs="Arial"/>
          <w:spacing w:val="8"/>
          <w:kern w:val="0"/>
          <w:szCs w:val="21"/>
        </w:rPr>
        <w:t>提交文件开始时间：</w:t>
      </w:r>
      <w:r>
        <w:rPr>
          <w:rFonts w:hint="eastAsia" w:ascii="Arial" w:hAnsi="Arial" w:cs="Arial"/>
          <w:u w:val="single" w:color="000000" w:themeColor="text1"/>
        </w:rPr>
        <w:t> </w:t>
      </w:r>
      <w:r>
        <w:rPr>
          <w:rFonts w:ascii="Arial" w:hAnsi="Arial" w:cs="Arial"/>
          <w:u w:val="single" w:color="000000" w:themeColor="text1"/>
        </w:rPr>
        <w:t xml:space="preserve"> 2020 </w:t>
      </w:r>
      <w:r>
        <w:rPr>
          <w:rFonts w:ascii="Arial" w:hAnsi="Arial" w:cs="Arial"/>
          <w:spacing w:val="8"/>
          <w:kern w:val="0"/>
          <w:szCs w:val="21"/>
        </w:rPr>
        <w:t>年</w:t>
      </w:r>
      <w:r>
        <w:rPr>
          <w:rFonts w:ascii="Arial" w:hAnsi="Arial" w:cs="Arial"/>
          <w:u w:val="single" w:color="000000" w:themeColor="text1"/>
        </w:rPr>
        <w:t> 11</w:t>
      </w:r>
      <w:r>
        <w:rPr>
          <w:rFonts w:ascii="Arial" w:hAnsi="Arial" w:cs="Arial"/>
          <w:spacing w:val="8"/>
          <w:kern w:val="0"/>
          <w:szCs w:val="21"/>
        </w:rPr>
        <w:t>月</w:t>
      </w:r>
      <w:r>
        <w:rPr>
          <w:rFonts w:ascii="Arial" w:hAnsi="Arial" w:cs="Arial"/>
          <w:u w:val="single" w:color="000000" w:themeColor="text1"/>
        </w:rPr>
        <w:t xml:space="preserve">  </w:t>
      </w:r>
      <w:r>
        <w:rPr>
          <w:rFonts w:ascii="Arial" w:hAnsi="Arial" w:cs="Arial"/>
          <w:spacing w:val="8"/>
          <w:kern w:val="0"/>
          <w:szCs w:val="21"/>
        </w:rPr>
        <w:t>日</w:t>
      </w:r>
      <w:r>
        <w:rPr>
          <w:rFonts w:ascii="Arial" w:hAnsi="Arial" w:cs="Arial"/>
          <w:u w:val="single" w:color="000000" w:themeColor="text1"/>
        </w:rPr>
        <w:t xml:space="preserve">  13 </w:t>
      </w:r>
      <w:r>
        <w:rPr>
          <w:rFonts w:ascii="Arial" w:hAnsi="Arial" w:cs="Arial"/>
          <w:spacing w:val="8"/>
          <w:kern w:val="0"/>
          <w:szCs w:val="21"/>
        </w:rPr>
        <w:t>点</w:t>
      </w:r>
      <w:r>
        <w:rPr>
          <w:rFonts w:ascii="Arial" w:hAnsi="Arial" w:cs="Arial"/>
          <w:u w:val="single" w:color="000000" w:themeColor="text1"/>
        </w:rPr>
        <w:t xml:space="preserve">  30 </w:t>
      </w:r>
      <w:r>
        <w:rPr>
          <w:rFonts w:ascii="Arial" w:hAnsi="Arial" w:cs="Arial"/>
          <w:spacing w:val="8"/>
          <w:kern w:val="0"/>
          <w:szCs w:val="21"/>
        </w:rPr>
        <w:t>分（北京时间）</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4.2提交投标文件截止时间、开标时间</w:t>
      </w:r>
      <w:r>
        <w:rPr>
          <w:rFonts w:ascii="Arial" w:hAnsi="Arial" w:cs="Arial"/>
          <w:spacing w:val="8"/>
          <w:kern w:val="0"/>
          <w:szCs w:val="21"/>
          <w:u w:val="single"/>
        </w:rPr>
        <w:t> 2020</w:t>
      </w:r>
      <w:r>
        <w:rPr>
          <w:rFonts w:ascii="Arial" w:hAnsi="Arial" w:cs="Arial"/>
          <w:spacing w:val="8"/>
          <w:kern w:val="0"/>
          <w:szCs w:val="21"/>
        </w:rPr>
        <w:t>年</w:t>
      </w:r>
      <w:r>
        <w:rPr>
          <w:rFonts w:ascii="Arial" w:hAnsi="Arial" w:cs="Arial"/>
          <w:spacing w:val="8"/>
          <w:kern w:val="0"/>
          <w:szCs w:val="21"/>
          <w:u w:val="single"/>
        </w:rPr>
        <w:t> 11</w:t>
      </w:r>
      <w:r>
        <w:rPr>
          <w:rFonts w:ascii="Arial" w:hAnsi="Arial" w:cs="Arial"/>
          <w:spacing w:val="8"/>
          <w:kern w:val="0"/>
          <w:szCs w:val="21"/>
        </w:rPr>
        <w:t>月</w:t>
      </w:r>
      <w:r>
        <w:rPr>
          <w:rFonts w:ascii="Arial" w:hAnsi="Arial" w:cs="Arial"/>
          <w:spacing w:val="8"/>
          <w:kern w:val="0"/>
          <w:szCs w:val="21"/>
          <w:u w:val="single"/>
        </w:rPr>
        <w:t xml:space="preserve">    </w:t>
      </w:r>
      <w:r>
        <w:rPr>
          <w:rFonts w:ascii="Arial" w:hAnsi="Arial" w:cs="Arial"/>
          <w:spacing w:val="8"/>
          <w:kern w:val="0"/>
          <w:szCs w:val="21"/>
        </w:rPr>
        <w:t>日</w:t>
      </w:r>
      <w:r>
        <w:rPr>
          <w:rFonts w:ascii="Arial" w:hAnsi="Arial" w:cs="Arial"/>
          <w:spacing w:val="8"/>
          <w:kern w:val="0"/>
          <w:szCs w:val="21"/>
          <w:u w:val="single"/>
        </w:rPr>
        <w:t> 14</w:t>
      </w:r>
      <w:r>
        <w:rPr>
          <w:rFonts w:ascii="Arial" w:hAnsi="Arial" w:cs="Arial"/>
          <w:spacing w:val="8"/>
          <w:kern w:val="0"/>
          <w:szCs w:val="21"/>
        </w:rPr>
        <w:t xml:space="preserve"> 点</w:t>
      </w:r>
      <w:r>
        <w:rPr>
          <w:rFonts w:ascii="Arial" w:hAnsi="Arial" w:cs="Arial"/>
          <w:spacing w:val="8"/>
          <w:kern w:val="0"/>
          <w:szCs w:val="21"/>
          <w:u w:val="single"/>
        </w:rPr>
        <w:t>00</w:t>
      </w:r>
      <w:r>
        <w:rPr>
          <w:rFonts w:ascii="Arial" w:hAnsi="Arial" w:cs="Arial"/>
          <w:spacing w:val="8"/>
          <w:kern w:val="0"/>
          <w:szCs w:val="21"/>
        </w:rPr>
        <w:t xml:space="preserve"> 分（北京时间）</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4.3地点：南京市山西路江苏成套大厦1楼</w:t>
      </w:r>
      <w:r>
        <w:rPr>
          <w:rFonts w:hint="eastAsia" w:ascii="Arial" w:hAnsi="Arial" w:cs="Arial"/>
          <w:spacing w:val="8"/>
          <w:kern w:val="0"/>
          <w:szCs w:val="21"/>
        </w:rPr>
        <w:t>大厅</w:t>
      </w:r>
    </w:p>
    <w:p>
      <w:pPr>
        <w:widowControl/>
        <w:shd w:val="clear" w:color="auto" w:fill="FFFFFF" w:themeFill="background1"/>
        <w:spacing w:line="360" w:lineRule="auto"/>
        <w:ind w:firstLine="370"/>
        <w:rPr>
          <w:rFonts w:ascii="Arial" w:hAnsi="Arial" w:cs="Arial"/>
          <w:szCs w:val="21"/>
        </w:rPr>
      </w:pPr>
      <w:r>
        <w:rPr>
          <w:rFonts w:ascii="Arial" w:hAnsi="Arial" w:cs="Arial"/>
          <w:spacing w:val="8"/>
          <w:kern w:val="0"/>
          <w:szCs w:val="21"/>
        </w:rPr>
        <w:t>4.4</w:t>
      </w:r>
      <w:r>
        <w:rPr>
          <w:rFonts w:ascii="Arial" w:hAnsi="宋体" w:cs="Arial"/>
          <w:szCs w:val="21"/>
        </w:rPr>
        <w:t>投标人应提供</w:t>
      </w:r>
      <w:r>
        <w:rPr>
          <w:rFonts w:hint="eastAsia" w:ascii="Arial" w:hAnsi="宋体" w:cs="Arial"/>
          <w:szCs w:val="21"/>
        </w:rPr>
        <w:t>纸质文件5份（1正、4副）、</w:t>
      </w:r>
      <w:r>
        <w:rPr>
          <w:rFonts w:ascii="Arial" w:hAnsi="宋体" w:cs="Arial"/>
          <w:szCs w:val="21"/>
        </w:rPr>
        <w:t>电子版投标文件</w:t>
      </w:r>
      <w:r>
        <w:rPr>
          <w:rFonts w:ascii="Arial" w:hAnsi="Arial" w:cs="Arial"/>
          <w:szCs w:val="21"/>
        </w:rPr>
        <w:t>1</w:t>
      </w:r>
      <w:r>
        <w:rPr>
          <w:rFonts w:ascii="Arial" w:hAnsi="宋体" w:cs="Arial"/>
          <w:szCs w:val="21"/>
        </w:rPr>
        <w:t>份（一般应为</w:t>
      </w:r>
      <w:r>
        <w:rPr>
          <w:rFonts w:ascii="Arial" w:hAnsi="Arial" w:cs="Arial"/>
          <w:szCs w:val="21"/>
        </w:rPr>
        <w:t>PDF</w:t>
      </w:r>
      <w:r>
        <w:rPr>
          <w:rFonts w:ascii="Arial" w:hAnsi="宋体" w:cs="Arial"/>
          <w:szCs w:val="21"/>
        </w:rPr>
        <w:t>格式、</w:t>
      </w:r>
      <w:r>
        <w:rPr>
          <w:rFonts w:ascii="Arial" w:hAnsi="Arial" w:cs="Arial"/>
          <w:szCs w:val="21"/>
        </w:rPr>
        <w:t>U</w:t>
      </w:r>
      <w:r>
        <w:rPr>
          <w:rFonts w:ascii="Arial" w:hAnsi="宋体" w:cs="Arial"/>
          <w:szCs w:val="21"/>
        </w:rPr>
        <w:t>盘形式（单独封装）、随纸质正本文件一并提交）。当电子版文件和纸质正本文件不一致时，以纸质正本文件为准。电子版文件用于辅助评标和平台存档，投标人需承担前述不一致造成的不利后果。</w:t>
      </w:r>
    </w:p>
    <w:p>
      <w:pPr>
        <w:widowControl/>
        <w:shd w:val="clear" w:color="auto" w:fill="FFFFFF" w:themeFill="background1"/>
        <w:spacing w:line="360" w:lineRule="auto"/>
        <w:ind w:firstLine="370"/>
        <w:rPr>
          <w:rFonts w:ascii="Arial" w:hAnsi="Arial" w:cs="Arial"/>
          <w:spacing w:val="8"/>
          <w:kern w:val="0"/>
          <w:szCs w:val="21"/>
        </w:rPr>
      </w:pP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五、公告期限</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自本公告发布之日起5个工作日。</w:t>
      </w:r>
    </w:p>
    <w:p>
      <w:pPr>
        <w:widowControl/>
        <w:shd w:val="clear" w:color="auto" w:fill="FFFFFF" w:themeFill="background1"/>
        <w:spacing w:line="360" w:lineRule="auto"/>
        <w:ind w:firstLine="370"/>
        <w:rPr>
          <w:rFonts w:ascii="Arial" w:hAnsi="Arial" w:cs="Arial"/>
          <w:spacing w:val="8"/>
          <w:kern w:val="0"/>
          <w:szCs w:val="21"/>
        </w:rPr>
      </w:pP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六、其他补充事宜</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6.1本项目在</w:t>
      </w:r>
      <w:r>
        <w:rPr>
          <w:rFonts w:hint="eastAsia" w:ascii="Arial" w:hAnsi="Arial" w:cs="Arial"/>
          <w:szCs w:val="21"/>
          <w:lang w:val="zh-CN"/>
        </w:rPr>
        <w:t>中国政府采购网</w:t>
      </w:r>
      <w:r>
        <w:rPr>
          <w:rFonts w:ascii="Arial" w:hAnsi="Arial" w:cs="Arial"/>
          <w:szCs w:val="21"/>
          <w:lang w:val="zh-CN"/>
        </w:rPr>
        <w:t>网站发布公告。</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6.2 采购项目需要落实的政府采购政策，包括但不限于：</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（1）政府采购促进中小企业发展</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（2）政府采购支持监狱企业发展</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（3）政府采购促进残疾人就业</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（4）政府采购鼓励采购节能环保产品</w:t>
      </w:r>
    </w:p>
    <w:p>
      <w:pPr>
        <w:widowControl/>
        <w:shd w:val="clear" w:color="auto" w:fill="FFFFFF" w:themeFill="background1"/>
        <w:spacing w:line="360" w:lineRule="auto"/>
        <w:ind w:firstLine="363" w:firstLineChars="173"/>
        <w:outlineLvl w:val="1"/>
        <w:rPr>
          <w:rFonts w:ascii="Arial" w:hAnsi="Arial" w:cs="Arial"/>
          <w:szCs w:val="21"/>
        </w:rPr>
      </w:pPr>
      <w:r>
        <w:rPr>
          <w:rFonts w:ascii="Arial" w:hAnsi="Arial" w:cs="Arial"/>
          <w:szCs w:val="21"/>
          <w:lang w:val="zh-CN"/>
        </w:rPr>
        <w:t>6.3</w:t>
      </w:r>
      <w:r>
        <w:rPr>
          <w:rFonts w:ascii="Arial" w:hAnsi="Arial" w:cs="Arial"/>
          <w:szCs w:val="21"/>
        </w:rPr>
        <w:t>本次招标请按“包”购买招标文件，编制、提交电子投标文件，提交投标保证金，并按“包”开标、评标。</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6.4 在单一品目的货物采购招标中，同一品牌的产品有多家供应商参加投标，只能按照一家供应商计算。</w:t>
      </w:r>
    </w:p>
    <w:p>
      <w:pPr>
        <w:widowControl/>
        <w:shd w:val="clear" w:color="auto" w:fill="FFFFFF" w:themeFill="background1"/>
        <w:spacing w:line="360" w:lineRule="auto"/>
        <w:ind w:firstLine="363" w:firstLineChars="173"/>
        <w:outlineLvl w:val="1"/>
        <w:rPr>
          <w:rFonts w:ascii="Arial" w:hAnsi="Arial" w:cs="Arial"/>
          <w:szCs w:val="21"/>
          <w:lang w:val="zh-CN"/>
        </w:rPr>
      </w:pPr>
      <w:r>
        <w:rPr>
          <w:rFonts w:ascii="Arial" w:hAnsi="Arial" w:cs="Arial"/>
          <w:szCs w:val="21"/>
          <w:lang w:val="zh-CN"/>
        </w:rPr>
        <w:t>6.5 投标人应当从</w:t>
      </w:r>
      <w:r>
        <w:rPr>
          <w:rFonts w:hint="eastAsia" w:ascii="Arial" w:hAnsi="Arial" w:cs="Arial"/>
          <w:szCs w:val="21"/>
          <w:lang w:val="zh-CN"/>
        </w:rPr>
        <w:t>招标</w:t>
      </w:r>
      <w:r>
        <w:rPr>
          <w:rFonts w:ascii="Arial" w:hAnsi="Arial" w:cs="Arial"/>
          <w:szCs w:val="21"/>
          <w:lang w:val="zh-CN"/>
        </w:rPr>
        <w:t>代理机构合法获得招标项目的招标文件。</w:t>
      </w:r>
    </w:p>
    <w:p>
      <w:pPr>
        <w:widowControl/>
        <w:shd w:val="clear" w:color="auto" w:fill="FFFFFF" w:themeFill="background1"/>
        <w:spacing w:line="360" w:lineRule="auto"/>
        <w:ind w:firstLine="363" w:firstLineChars="173"/>
        <w:outlineLvl w:val="1"/>
        <w:rPr>
          <w:rFonts w:ascii="Arial" w:hAnsi="Arial" w:cs="Arial"/>
          <w:bCs/>
          <w:szCs w:val="21"/>
          <w:u w:val="thick"/>
        </w:rPr>
      </w:pPr>
      <w:r>
        <w:rPr>
          <w:rFonts w:ascii="Arial" w:hAnsi="Arial" w:cs="Arial"/>
          <w:bCs/>
          <w:szCs w:val="21"/>
        </w:rPr>
        <w:t>6.6 勘察现场或答疑：</w:t>
      </w:r>
      <w:r>
        <w:rPr>
          <w:rFonts w:ascii="Arial" w:hAnsi="Arial" w:cs="Arial"/>
          <w:bCs/>
          <w:szCs w:val="21"/>
          <w:u w:val="thick"/>
        </w:rPr>
        <w:t>无</w:t>
      </w:r>
    </w:p>
    <w:p>
      <w:pPr>
        <w:widowControl/>
        <w:shd w:val="clear" w:color="auto" w:fill="FFFFFF" w:themeFill="background1"/>
        <w:spacing w:line="360" w:lineRule="auto"/>
        <w:ind w:firstLine="363" w:firstLineChars="173"/>
        <w:outlineLvl w:val="1"/>
        <w:rPr>
          <w:rFonts w:ascii="Arial" w:hAnsi="Arial" w:cs="Arial"/>
          <w:szCs w:val="21"/>
        </w:rPr>
      </w:pPr>
    </w:p>
    <w:p>
      <w:pPr>
        <w:widowControl/>
        <w:shd w:val="clear" w:color="auto" w:fill="FFFFFF" w:themeFill="background1"/>
        <w:spacing w:line="360" w:lineRule="auto"/>
        <w:rPr>
          <w:rFonts w:ascii="Arial" w:hAnsi="Arial" w:cs="Arial"/>
          <w:b/>
          <w:spacing w:val="8"/>
          <w:kern w:val="0"/>
          <w:sz w:val="24"/>
        </w:rPr>
      </w:pPr>
      <w:r>
        <w:rPr>
          <w:rFonts w:ascii="Arial" w:hAnsi="Arial" w:cs="Arial"/>
          <w:b/>
          <w:spacing w:val="8"/>
          <w:kern w:val="0"/>
          <w:sz w:val="24"/>
        </w:rPr>
        <w:t>七、对本次招标提出询问，请按以下方式联系</w:t>
      </w:r>
    </w:p>
    <w:p>
      <w:pPr>
        <w:shd w:val="clear" w:color="auto" w:fill="FFFFFF" w:themeFill="background1"/>
        <w:spacing w:line="360" w:lineRule="auto"/>
        <w:rPr>
          <w:rFonts w:ascii="Arial" w:hAnsi="Arial" w:cs="Arial"/>
          <w:spacing w:val="8"/>
          <w:szCs w:val="21"/>
        </w:rPr>
      </w:pPr>
      <w:r>
        <w:rPr>
          <w:rFonts w:ascii="Arial" w:hAnsi="Arial" w:cs="Arial"/>
          <w:spacing w:val="8"/>
          <w:kern w:val="0"/>
          <w:szCs w:val="21"/>
        </w:rPr>
        <w:t>　</w:t>
      </w:r>
      <w:r>
        <w:rPr>
          <w:rFonts w:hint="eastAsia" w:ascii="Arial" w:cs="Arial"/>
          <w:spacing w:val="8"/>
          <w:szCs w:val="21"/>
        </w:rPr>
        <w:t>7.</w:t>
      </w:r>
      <w:r>
        <w:rPr>
          <w:rFonts w:ascii="Arial" w:hAnsi="Arial" w:cs="Arial"/>
          <w:spacing w:val="8"/>
          <w:szCs w:val="21"/>
        </w:rPr>
        <w:t>1</w:t>
      </w:r>
      <w:r>
        <w:rPr>
          <w:rFonts w:ascii="Arial" w:cs="Arial"/>
          <w:spacing w:val="8"/>
          <w:szCs w:val="21"/>
        </w:rPr>
        <w:t>采购人信息</w:t>
      </w:r>
    </w:p>
    <w:p>
      <w:pPr>
        <w:spacing w:line="360" w:lineRule="auto"/>
        <w:ind w:firstLine="424" w:firstLineChars="202"/>
        <w:rPr>
          <w:rFonts w:ascii="宋体"/>
          <w:color w:val="000000" w:themeColor="text1"/>
        </w:rPr>
      </w:pPr>
      <w:r>
        <w:rPr>
          <w:rFonts w:hint="eastAsia" w:ascii="宋体"/>
          <w:color w:val="000000" w:themeColor="text1"/>
        </w:rPr>
        <w:t>名 称：南京审计大学</w:t>
      </w:r>
    </w:p>
    <w:p>
      <w:pPr>
        <w:spacing w:line="360" w:lineRule="auto"/>
        <w:ind w:firstLine="424" w:firstLineChars="202"/>
        <w:rPr>
          <w:rFonts w:ascii="宋体"/>
          <w:color w:val="000000" w:themeColor="text1"/>
        </w:rPr>
      </w:pPr>
      <w:r>
        <w:rPr>
          <w:rFonts w:hint="eastAsia" w:ascii="宋体"/>
          <w:color w:val="000000" w:themeColor="text1"/>
        </w:rPr>
        <w:t>联系人： 徐老师</w:t>
      </w:r>
    </w:p>
    <w:p>
      <w:pPr>
        <w:spacing w:line="360" w:lineRule="auto"/>
        <w:ind w:firstLine="424" w:firstLineChars="202"/>
        <w:rPr>
          <w:rFonts w:ascii="宋体"/>
          <w:color w:val="000000" w:themeColor="text1"/>
        </w:rPr>
      </w:pPr>
      <w:r>
        <w:rPr>
          <w:rFonts w:hint="eastAsia" w:ascii="宋体"/>
          <w:color w:val="000000" w:themeColor="text1"/>
        </w:rPr>
        <w:t xml:space="preserve">联系方式： </w:t>
      </w:r>
      <w:r>
        <w:rPr>
          <w:rFonts w:hint="eastAsia" w:ascii="宋体" w:hAnsi="宋体" w:cs="宋体"/>
          <w:szCs w:val="21"/>
          <w:lang w:val="zh-CN"/>
        </w:rPr>
        <w:t>025-58318724</w:t>
      </w:r>
    </w:p>
    <w:p>
      <w:pPr>
        <w:shd w:val="clear" w:color="auto" w:fill="FFFFFF" w:themeFill="background1"/>
        <w:spacing w:line="360" w:lineRule="auto"/>
        <w:ind w:firstLine="334" w:firstLineChars="148"/>
        <w:rPr>
          <w:rFonts w:ascii="Arial" w:cs="Arial"/>
          <w:spacing w:val="8"/>
          <w:szCs w:val="21"/>
        </w:rPr>
      </w:pPr>
      <w:r>
        <w:rPr>
          <w:rFonts w:hint="eastAsia" w:ascii="Arial" w:cs="Arial"/>
          <w:spacing w:val="8"/>
          <w:szCs w:val="21"/>
        </w:rPr>
        <w:t>7.</w:t>
      </w:r>
      <w:r>
        <w:rPr>
          <w:rFonts w:ascii="Arial" w:cs="Arial"/>
          <w:spacing w:val="8"/>
          <w:szCs w:val="21"/>
        </w:rPr>
        <w:t>2采购代理机构信息</w:t>
      </w:r>
    </w:p>
    <w:p>
      <w:pPr>
        <w:shd w:val="clear" w:color="auto" w:fill="FFFFFF" w:themeFill="background1"/>
        <w:spacing w:line="360" w:lineRule="auto"/>
        <w:ind w:firstLine="560"/>
        <w:rPr>
          <w:rFonts w:ascii="Arial" w:hAnsi="Arial" w:cs="Arial"/>
          <w:spacing w:val="8"/>
          <w:szCs w:val="21"/>
        </w:rPr>
      </w:pPr>
      <w:r>
        <w:rPr>
          <w:rFonts w:ascii="Arial" w:cs="Arial"/>
          <w:spacing w:val="8"/>
          <w:szCs w:val="21"/>
        </w:rPr>
        <w:t>名</w:t>
      </w:r>
      <w:r>
        <w:rPr>
          <w:rFonts w:ascii="Arial" w:hAnsi="Arial" w:cs="Arial"/>
          <w:spacing w:val="8"/>
          <w:szCs w:val="21"/>
        </w:rPr>
        <w:t xml:space="preserve"> </w:t>
      </w:r>
      <w:r>
        <w:rPr>
          <w:rFonts w:ascii="Arial" w:cs="Arial"/>
          <w:spacing w:val="8"/>
          <w:szCs w:val="21"/>
        </w:rPr>
        <w:t>称：</w:t>
      </w:r>
      <w:r>
        <w:rPr>
          <w:rFonts w:ascii="Arial" w:hAnsi="Arial" w:cs="Arial"/>
          <w:spacing w:val="8"/>
          <w:szCs w:val="21"/>
        </w:rPr>
        <w:t xml:space="preserve"> </w:t>
      </w:r>
      <w:r>
        <w:rPr>
          <w:rFonts w:hint="eastAsia"/>
          <w:color w:val="000000"/>
          <w:szCs w:val="21"/>
          <w:lang w:val="zh-CN"/>
        </w:rPr>
        <w:t>江苏省设备成套股份有限公司</w:t>
      </w:r>
    </w:p>
    <w:p>
      <w:pPr>
        <w:shd w:val="clear" w:color="auto" w:fill="FFFFFF" w:themeFill="background1"/>
        <w:spacing w:line="360" w:lineRule="auto"/>
        <w:ind w:firstLine="560"/>
        <w:rPr>
          <w:szCs w:val="21"/>
          <w:lang w:val="zh-CN"/>
        </w:rPr>
      </w:pPr>
      <w:r>
        <w:rPr>
          <w:rFonts w:ascii="Arial" w:cs="Arial"/>
          <w:spacing w:val="8"/>
          <w:szCs w:val="21"/>
        </w:rPr>
        <w:t>地　址：</w:t>
      </w:r>
      <w:r>
        <w:rPr>
          <w:rFonts w:ascii="Arial" w:hAnsi="Arial" w:cs="Arial"/>
          <w:spacing w:val="8"/>
          <w:szCs w:val="21"/>
        </w:rPr>
        <w:t xml:space="preserve"> </w:t>
      </w:r>
      <w:r>
        <w:rPr>
          <w:rFonts w:hint="eastAsia"/>
          <w:szCs w:val="21"/>
          <w:lang w:val="zh-CN"/>
        </w:rPr>
        <w:t>南京市山西路120号江苏成套大厦1</w:t>
      </w:r>
      <w:r>
        <w:rPr>
          <w:szCs w:val="21"/>
          <w:lang w:val="zh-CN"/>
        </w:rPr>
        <w:t>7</w:t>
      </w:r>
      <w:r>
        <w:rPr>
          <w:rFonts w:hint="eastAsia"/>
          <w:szCs w:val="21"/>
          <w:lang w:val="zh-CN"/>
        </w:rPr>
        <w:t>楼</w:t>
      </w:r>
      <w:r>
        <w:rPr>
          <w:rFonts w:hint="eastAsia"/>
          <w:szCs w:val="21"/>
        </w:rPr>
        <w:t>1708</w:t>
      </w:r>
      <w:r>
        <w:rPr>
          <w:rFonts w:hint="eastAsia"/>
          <w:szCs w:val="21"/>
          <w:lang w:val="zh-CN"/>
        </w:rPr>
        <w:t>室</w:t>
      </w:r>
    </w:p>
    <w:p>
      <w:pPr>
        <w:shd w:val="clear" w:color="auto" w:fill="FFFFFF" w:themeFill="background1"/>
        <w:spacing w:line="360" w:lineRule="auto"/>
        <w:ind w:firstLine="560"/>
        <w:rPr>
          <w:rFonts w:ascii="Arial" w:hAnsi="Arial" w:cs="Arial"/>
          <w:spacing w:val="8"/>
          <w:szCs w:val="21"/>
        </w:rPr>
      </w:pPr>
      <w:r>
        <w:rPr>
          <w:rFonts w:ascii="Arial" w:cs="Arial"/>
          <w:spacing w:val="8"/>
          <w:szCs w:val="21"/>
        </w:rPr>
        <w:t>联系方式：</w:t>
      </w:r>
      <w:r>
        <w:rPr>
          <w:rFonts w:ascii="Arial" w:hAnsi="Arial" w:cs="Arial"/>
          <w:spacing w:val="8"/>
          <w:szCs w:val="21"/>
        </w:rPr>
        <w:t xml:space="preserve"> </w:t>
      </w:r>
      <w:r>
        <w:rPr>
          <w:rFonts w:hint="eastAsia"/>
          <w:szCs w:val="21"/>
          <w:lang w:val="zh-CN"/>
        </w:rPr>
        <w:t>025-</w:t>
      </w:r>
      <w:r>
        <w:rPr>
          <w:szCs w:val="21"/>
          <w:lang w:val="zh-CN"/>
        </w:rPr>
        <w:t>85569055</w:t>
      </w:r>
    </w:p>
    <w:p>
      <w:pPr>
        <w:shd w:val="clear" w:color="auto" w:fill="FFFFFF" w:themeFill="background1"/>
        <w:spacing w:line="360" w:lineRule="auto"/>
        <w:ind w:firstLine="339" w:firstLineChars="150"/>
        <w:rPr>
          <w:rFonts w:ascii="Arial" w:cs="Arial"/>
          <w:spacing w:val="8"/>
          <w:szCs w:val="21"/>
        </w:rPr>
      </w:pPr>
      <w:r>
        <w:rPr>
          <w:rFonts w:hint="eastAsia" w:ascii="Arial" w:cs="Arial"/>
          <w:spacing w:val="8"/>
          <w:szCs w:val="21"/>
        </w:rPr>
        <w:t>7.</w:t>
      </w:r>
      <w:r>
        <w:rPr>
          <w:rFonts w:ascii="Arial" w:cs="Arial"/>
          <w:spacing w:val="8"/>
          <w:szCs w:val="21"/>
        </w:rPr>
        <w:t>3项目联系方式</w:t>
      </w:r>
    </w:p>
    <w:p>
      <w:pPr>
        <w:shd w:val="clear" w:color="auto" w:fill="FFFFFF" w:themeFill="background1"/>
        <w:spacing w:line="360" w:lineRule="auto"/>
        <w:ind w:firstLine="560"/>
        <w:rPr>
          <w:szCs w:val="21"/>
          <w:lang w:val="zh-CN"/>
        </w:rPr>
      </w:pPr>
      <w:r>
        <w:rPr>
          <w:rFonts w:ascii="Arial" w:cs="Arial"/>
          <w:spacing w:val="8"/>
          <w:szCs w:val="21"/>
        </w:rPr>
        <w:t>项目联系人：</w:t>
      </w:r>
      <w:r>
        <w:rPr>
          <w:rFonts w:hint="eastAsia"/>
          <w:szCs w:val="21"/>
          <w:lang w:val="zh-CN"/>
        </w:rPr>
        <w:t>娄少华</w:t>
      </w:r>
    </w:p>
    <w:p>
      <w:pPr>
        <w:shd w:val="clear" w:color="auto" w:fill="FFFFFF" w:themeFill="background1"/>
        <w:spacing w:line="360" w:lineRule="auto"/>
        <w:ind w:firstLine="560"/>
        <w:rPr>
          <w:szCs w:val="21"/>
          <w:lang w:val="zh-CN"/>
        </w:rPr>
      </w:pPr>
      <w:r>
        <w:rPr>
          <w:rFonts w:ascii="Arial" w:cs="Arial"/>
          <w:spacing w:val="8"/>
          <w:szCs w:val="21"/>
        </w:rPr>
        <w:t>电　话：</w:t>
      </w:r>
      <w:r>
        <w:rPr>
          <w:rFonts w:ascii="Arial" w:hAnsi="Arial" w:cs="Arial"/>
          <w:spacing w:val="8"/>
          <w:szCs w:val="21"/>
        </w:rPr>
        <w:t xml:space="preserve"> </w:t>
      </w:r>
      <w:r>
        <w:rPr>
          <w:rFonts w:hint="eastAsia"/>
          <w:szCs w:val="21"/>
          <w:lang w:val="zh-CN"/>
        </w:rPr>
        <w:t>025-</w:t>
      </w:r>
      <w:r>
        <w:rPr>
          <w:szCs w:val="21"/>
          <w:lang w:val="zh-CN"/>
        </w:rPr>
        <w:t>85569055 13305177828</w:t>
      </w:r>
    </w:p>
    <w:p>
      <w:pPr>
        <w:shd w:val="clear" w:color="auto" w:fill="FFFFFF" w:themeFill="background1"/>
        <w:spacing w:line="360" w:lineRule="auto"/>
        <w:ind w:firstLine="560"/>
        <w:rPr>
          <w:rFonts w:ascii="Arial" w:hAnsi="Arial" w:cs="Arial"/>
          <w:spacing w:val="8"/>
          <w:szCs w:val="21"/>
        </w:rPr>
      </w:pPr>
      <w:r>
        <w:rPr>
          <w:rFonts w:hint="eastAsia" w:ascii="Arial" w:hAnsi="Arial" w:cs="Arial"/>
          <w:spacing w:val="8"/>
          <w:szCs w:val="21"/>
        </w:rPr>
        <w:t xml:space="preserve">邮 </w:t>
      </w:r>
      <w:r>
        <w:rPr>
          <w:rFonts w:ascii="Arial" w:hAnsi="Arial" w:cs="Arial"/>
          <w:spacing w:val="8"/>
          <w:szCs w:val="21"/>
        </w:rPr>
        <w:t xml:space="preserve"> </w:t>
      </w:r>
      <w:r>
        <w:rPr>
          <w:rFonts w:hint="eastAsia" w:ascii="Arial" w:hAnsi="Arial" w:cs="Arial"/>
          <w:spacing w:val="8"/>
          <w:szCs w:val="21"/>
        </w:rPr>
        <w:t>箱：</w:t>
      </w:r>
      <w:r>
        <w:fldChar w:fldCharType="begin"/>
      </w:r>
      <w:r>
        <w:instrText xml:space="preserve"> HYPERLINK "mailto:loush@jcec.cn" </w:instrText>
      </w:r>
      <w:r>
        <w:fldChar w:fldCharType="separate"/>
      </w:r>
      <w:r>
        <w:rPr>
          <w:rStyle w:val="50"/>
          <w:rFonts w:hint="eastAsia" w:ascii="Arial" w:hAnsi="Arial" w:cs="Arial"/>
          <w:spacing w:val="8"/>
          <w:szCs w:val="21"/>
        </w:rPr>
        <w:t>loush</w:t>
      </w:r>
      <w:r>
        <w:rPr>
          <w:rStyle w:val="50"/>
          <w:rFonts w:ascii="Arial" w:hAnsi="Arial" w:cs="Arial"/>
          <w:spacing w:val="8"/>
          <w:szCs w:val="21"/>
        </w:rPr>
        <w:t>@</w:t>
      </w:r>
      <w:r>
        <w:rPr>
          <w:rStyle w:val="50"/>
          <w:rFonts w:hint="eastAsia" w:ascii="Arial" w:hAnsi="Arial" w:cs="Arial"/>
          <w:spacing w:val="8"/>
          <w:szCs w:val="21"/>
        </w:rPr>
        <w:t>jcec</w:t>
      </w:r>
      <w:r>
        <w:rPr>
          <w:rStyle w:val="50"/>
          <w:rFonts w:ascii="Arial" w:hAnsi="Arial" w:cs="Arial"/>
          <w:spacing w:val="8"/>
          <w:szCs w:val="21"/>
        </w:rPr>
        <w:t>.</w:t>
      </w:r>
      <w:r>
        <w:rPr>
          <w:rStyle w:val="50"/>
          <w:rFonts w:hint="eastAsia" w:ascii="Arial" w:hAnsi="Arial" w:cs="Arial"/>
          <w:spacing w:val="8"/>
          <w:szCs w:val="21"/>
        </w:rPr>
        <w:t>cn</w:t>
      </w:r>
      <w:r>
        <w:rPr>
          <w:rStyle w:val="50"/>
          <w:rFonts w:hint="eastAsia" w:ascii="Arial" w:hAnsi="Arial" w:cs="Arial"/>
          <w:spacing w:val="8"/>
          <w:szCs w:val="21"/>
        </w:rPr>
        <w:fldChar w:fldCharType="end"/>
      </w:r>
    </w:p>
    <w:p>
      <w:pPr>
        <w:shd w:val="clear" w:color="auto" w:fill="FFFFFF" w:themeFill="background1"/>
        <w:spacing w:line="360" w:lineRule="auto"/>
        <w:ind w:firstLine="560"/>
        <w:rPr>
          <w:rFonts w:ascii="Arial" w:hAnsi="Arial" w:cs="Arial"/>
          <w:spacing w:val="8"/>
          <w:szCs w:val="21"/>
        </w:rPr>
      </w:pPr>
    </w:p>
    <w:p>
      <w:pPr>
        <w:shd w:val="clear" w:color="auto" w:fill="FFFFFF" w:themeFill="background1"/>
        <w:spacing w:line="360" w:lineRule="auto"/>
        <w:rPr>
          <w:rFonts w:ascii="Arial" w:hAnsi="Arial" w:cs="Arial"/>
          <w:spacing w:val="8"/>
          <w:szCs w:val="21"/>
        </w:rPr>
      </w:pPr>
    </w:p>
    <w:p>
      <w:pPr>
        <w:pStyle w:val="2"/>
        <w:numPr>
          <w:ilvl w:val="0"/>
          <w:numId w:val="0"/>
        </w:numPr>
        <w:rPr>
          <w:rFonts w:ascii="Arial" w:hAnsi="Arial" w:cs="Arial"/>
        </w:rPr>
      </w:pPr>
      <w:bookmarkStart w:id="2" w:name="_Toc43902849"/>
      <w:r>
        <w:rPr>
          <w:rFonts w:ascii="Arial" w:cs="Arial"/>
        </w:rPr>
        <w:t>第二章</w:t>
      </w:r>
      <w:bookmarkStart w:id="3" w:name="_Toc452625218"/>
      <w:r>
        <w:rPr>
          <w:rFonts w:ascii="Arial" w:hAnsi="Arial" w:cs="Arial"/>
        </w:rPr>
        <w:t xml:space="preserve"> </w:t>
      </w:r>
      <w:r>
        <w:rPr>
          <w:rFonts w:ascii="Arial" w:cs="Arial"/>
        </w:rPr>
        <w:t>投标人须知</w:t>
      </w:r>
      <w:bookmarkEnd w:id="2"/>
      <w:bookmarkEnd w:id="3"/>
    </w:p>
    <w:p>
      <w:pPr>
        <w:widowControl/>
        <w:shd w:val="clear" w:color="auto" w:fill="FFFFFF"/>
        <w:spacing w:line="360" w:lineRule="auto"/>
        <w:ind w:firstLine="422" w:firstLineChars="201"/>
        <w:rPr>
          <w:rFonts w:ascii="Arial" w:hAnsi="Arial" w:cs="Arial"/>
          <w:kern w:val="0"/>
          <w:szCs w:val="21"/>
        </w:rPr>
      </w:pPr>
      <w:r>
        <w:rPr>
          <w:rFonts w:ascii="Arial" w:hAnsi="宋体" w:cs="Arial"/>
          <w:b/>
          <w:bCs/>
          <w:kern w:val="0"/>
          <w:szCs w:val="21"/>
        </w:rPr>
        <w:t>一、总</w:t>
      </w:r>
      <w:r>
        <w:rPr>
          <w:rFonts w:ascii="Arial" w:hAnsi="Arial" w:cs="Arial"/>
          <w:b/>
          <w:bCs/>
          <w:kern w:val="0"/>
          <w:szCs w:val="21"/>
        </w:rPr>
        <w:t xml:space="preserve"> </w:t>
      </w:r>
      <w:r>
        <w:rPr>
          <w:rFonts w:ascii="Arial" w:hAnsi="宋体" w:cs="Arial"/>
          <w:b/>
          <w:bCs/>
          <w:kern w:val="0"/>
          <w:szCs w:val="21"/>
        </w:rPr>
        <w:t>则</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w:t>
      </w:r>
      <w:r>
        <w:rPr>
          <w:rFonts w:ascii="Arial" w:hAnsi="宋体" w:cs="Arial"/>
          <w:b/>
          <w:bCs/>
          <w:kern w:val="0"/>
          <w:szCs w:val="21"/>
        </w:rPr>
        <w:t>、适用法律</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1.1</w:t>
      </w:r>
      <w:r>
        <w:rPr>
          <w:rFonts w:ascii="Arial" w:hAnsi="宋体" w:cs="Arial"/>
          <w:kern w:val="0"/>
          <w:szCs w:val="21"/>
        </w:rPr>
        <w:t>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w:t>
      </w:r>
      <w:r>
        <w:rPr>
          <w:rFonts w:ascii="Arial" w:hAnsi="宋体" w:cs="Arial"/>
          <w:b/>
          <w:bCs/>
          <w:kern w:val="0"/>
          <w:szCs w:val="21"/>
        </w:rPr>
        <w:t>、定义</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2.1“</w:t>
      </w:r>
      <w:r>
        <w:rPr>
          <w:rFonts w:ascii="Arial" w:hAnsi="宋体" w:cs="Arial"/>
          <w:kern w:val="0"/>
          <w:szCs w:val="21"/>
        </w:rPr>
        <w:t>招标人（采购人）</w:t>
      </w:r>
      <w:r>
        <w:rPr>
          <w:rFonts w:ascii="Arial" w:hAnsi="Arial" w:cs="Arial"/>
          <w:kern w:val="0"/>
          <w:szCs w:val="21"/>
        </w:rPr>
        <w:t>”</w:t>
      </w:r>
      <w:r>
        <w:rPr>
          <w:rFonts w:ascii="Arial" w:hAnsi="宋体" w:cs="Arial"/>
          <w:kern w:val="0"/>
          <w:szCs w:val="21"/>
        </w:rPr>
        <w:t>是指依法进行政府采购的国家机关、事业单位、团体组织。</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2.2“</w:t>
      </w:r>
      <w:r>
        <w:rPr>
          <w:rFonts w:ascii="Arial" w:hAnsi="宋体" w:cs="Arial"/>
          <w:kern w:val="0"/>
          <w:szCs w:val="21"/>
        </w:rPr>
        <w:t>投标人（供应商）</w:t>
      </w:r>
      <w:r>
        <w:rPr>
          <w:rFonts w:ascii="Arial" w:hAnsi="Arial" w:cs="Arial"/>
          <w:kern w:val="0"/>
          <w:szCs w:val="21"/>
        </w:rPr>
        <w:t>”</w:t>
      </w:r>
      <w:r>
        <w:rPr>
          <w:rFonts w:ascii="Arial" w:hAnsi="宋体" w:cs="Arial"/>
          <w:kern w:val="0"/>
          <w:szCs w:val="21"/>
        </w:rPr>
        <w:t>是指参加投标竞争，并符合招标文件规定资格条件的法人、其他组织或者自然人。</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w:t>
      </w:r>
      <w:r>
        <w:rPr>
          <w:rFonts w:ascii="Arial" w:hAnsi="宋体" w:cs="Arial"/>
          <w:kern w:val="0"/>
          <w:szCs w:val="21"/>
        </w:rPr>
        <w:t>招标代理机构（采购代理机构）</w:t>
      </w:r>
      <w:r>
        <w:rPr>
          <w:rFonts w:ascii="Arial" w:hAnsi="Arial" w:cs="Arial"/>
          <w:kern w:val="0"/>
          <w:szCs w:val="21"/>
        </w:rPr>
        <w:t>”</w:t>
      </w:r>
      <w:r>
        <w:rPr>
          <w:rFonts w:ascii="Arial" w:hAnsi="宋体" w:cs="Arial"/>
          <w:kern w:val="0"/>
          <w:szCs w:val="21"/>
        </w:rPr>
        <w:t>是指集中采购机构和集中采购机构以外的采购代理机构，集中采购机构以外的招标</w:t>
      </w:r>
      <w:r>
        <w:rPr>
          <w:rFonts w:hint="eastAsia" w:ascii="Arial" w:hAnsi="宋体" w:cs="Arial"/>
          <w:kern w:val="0"/>
          <w:szCs w:val="21"/>
        </w:rPr>
        <w:t>（</w:t>
      </w:r>
      <w:r>
        <w:rPr>
          <w:rFonts w:ascii="Arial" w:hAnsi="宋体" w:cs="Arial"/>
          <w:kern w:val="0"/>
          <w:szCs w:val="21"/>
        </w:rPr>
        <w:t>采购</w:t>
      </w:r>
      <w:r>
        <w:rPr>
          <w:rFonts w:hint="eastAsia" w:ascii="Arial" w:hAnsi="宋体" w:cs="Arial"/>
          <w:kern w:val="0"/>
          <w:szCs w:val="21"/>
        </w:rPr>
        <w:t>）</w:t>
      </w:r>
      <w:r>
        <w:rPr>
          <w:rFonts w:ascii="Arial" w:hAnsi="宋体" w:cs="Arial"/>
          <w:kern w:val="0"/>
          <w:szCs w:val="21"/>
        </w:rPr>
        <w:t>代理机构，是从事招标</w:t>
      </w:r>
      <w:r>
        <w:rPr>
          <w:rFonts w:hint="eastAsia" w:ascii="Arial" w:hAnsi="宋体" w:cs="Arial"/>
          <w:kern w:val="0"/>
          <w:szCs w:val="21"/>
        </w:rPr>
        <w:t>（</w:t>
      </w:r>
      <w:r>
        <w:rPr>
          <w:rFonts w:ascii="Arial" w:hAnsi="宋体" w:cs="Arial"/>
          <w:kern w:val="0"/>
          <w:szCs w:val="21"/>
        </w:rPr>
        <w:t>采购</w:t>
      </w:r>
      <w:r>
        <w:rPr>
          <w:rFonts w:hint="eastAsia" w:ascii="Arial" w:hAnsi="宋体" w:cs="Arial"/>
          <w:kern w:val="0"/>
          <w:szCs w:val="21"/>
        </w:rPr>
        <w:t>）</w:t>
      </w:r>
      <w:r>
        <w:rPr>
          <w:rFonts w:ascii="Arial" w:hAnsi="宋体" w:cs="Arial"/>
          <w:kern w:val="0"/>
          <w:szCs w:val="21"/>
        </w:rPr>
        <w:t>代理业务的社会中介机构。</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2.4“</w:t>
      </w:r>
      <w:r>
        <w:rPr>
          <w:rFonts w:ascii="Arial" w:hAnsi="宋体" w:cs="Arial"/>
          <w:kern w:val="0"/>
          <w:szCs w:val="21"/>
        </w:rPr>
        <w:t>货物和服务</w:t>
      </w:r>
      <w:r>
        <w:rPr>
          <w:rFonts w:ascii="Arial" w:hAnsi="Arial" w:cs="Arial"/>
          <w:kern w:val="0"/>
          <w:szCs w:val="21"/>
        </w:rPr>
        <w:t>”</w:t>
      </w:r>
      <w:r>
        <w:rPr>
          <w:rFonts w:ascii="Arial" w:hAnsi="宋体" w:cs="Arial"/>
          <w:kern w:val="0"/>
          <w:szCs w:val="21"/>
        </w:rPr>
        <w:t>指本招标文件中所述</w:t>
      </w:r>
      <w:r>
        <w:rPr>
          <w:rFonts w:ascii="Arial" w:hAnsi="宋体" w:cs="Arial"/>
          <w:bCs/>
          <w:kern w:val="0"/>
          <w:szCs w:val="21"/>
        </w:rPr>
        <w:t>产品</w:t>
      </w:r>
      <w:r>
        <w:rPr>
          <w:rFonts w:ascii="Arial" w:hAnsi="宋体" w:cs="Arial"/>
          <w:kern w:val="0"/>
          <w:szCs w:val="21"/>
        </w:rPr>
        <w:t>及相关服务。</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2.5“</w:t>
      </w:r>
      <w:r>
        <w:rPr>
          <w:rFonts w:ascii="Arial" w:hAnsi="宋体" w:cs="Arial"/>
          <w:kern w:val="0"/>
          <w:szCs w:val="21"/>
        </w:rPr>
        <w:t>用户或使用单位</w:t>
      </w:r>
      <w:r>
        <w:rPr>
          <w:rFonts w:ascii="Arial" w:hAnsi="Arial" w:cs="Arial"/>
          <w:kern w:val="0"/>
          <w:szCs w:val="21"/>
        </w:rPr>
        <w:t>”</w:t>
      </w:r>
      <w:r>
        <w:rPr>
          <w:rFonts w:ascii="Arial" w:hAnsi="宋体" w:cs="Arial"/>
          <w:kern w:val="0"/>
          <w:szCs w:val="21"/>
        </w:rPr>
        <w:t>是指使用货物，接受服务的单位。</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3</w:t>
      </w:r>
      <w:r>
        <w:rPr>
          <w:rFonts w:ascii="Arial" w:hAnsi="宋体" w:cs="Arial"/>
          <w:b/>
          <w:bCs/>
          <w:kern w:val="0"/>
          <w:szCs w:val="21"/>
        </w:rPr>
        <w:t>、政策功能</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3.1</w:t>
      </w:r>
      <w:r>
        <w:rPr>
          <w:rFonts w:ascii="Arial" w:hAnsi="宋体" w:cs="Arial"/>
          <w:kern w:val="0"/>
          <w:szCs w:val="21"/>
        </w:rPr>
        <w:t>中小企业政策</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）中小企业应当符合《政府采购促进中小企业发展暂行办法》（财库〔</w:t>
      </w:r>
      <w:r>
        <w:rPr>
          <w:rFonts w:ascii="Arial" w:hAnsi="Arial" w:cs="Arial"/>
          <w:kern w:val="0"/>
          <w:szCs w:val="21"/>
        </w:rPr>
        <w:t>2011</w:t>
      </w:r>
      <w:r>
        <w:rPr>
          <w:rFonts w:ascii="Arial" w:hAnsi="宋体" w:cs="Arial"/>
          <w:kern w:val="0"/>
          <w:szCs w:val="21"/>
        </w:rPr>
        <w:t>〕</w:t>
      </w:r>
      <w:r>
        <w:rPr>
          <w:rFonts w:ascii="Arial" w:hAnsi="Arial" w:cs="Arial"/>
          <w:kern w:val="0"/>
          <w:szCs w:val="21"/>
        </w:rPr>
        <w:t>181</w:t>
      </w:r>
      <w:r>
        <w:rPr>
          <w:rFonts w:ascii="Arial" w:hAnsi="宋体" w:cs="Arial"/>
          <w:kern w:val="0"/>
          <w:szCs w:val="21"/>
        </w:rPr>
        <w:t>号）第二条、《关于政府采购支持监狱企业发展有关问题的通知》（财库〔</w:t>
      </w:r>
      <w:r>
        <w:rPr>
          <w:rFonts w:ascii="Arial" w:hAnsi="Arial" w:cs="Arial"/>
          <w:kern w:val="0"/>
          <w:szCs w:val="21"/>
        </w:rPr>
        <w:t>2014</w:t>
      </w:r>
      <w:r>
        <w:rPr>
          <w:rFonts w:ascii="Arial" w:hAnsi="宋体" w:cs="Arial"/>
          <w:kern w:val="0"/>
          <w:szCs w:val="21"/>
        </w:rPr>
        <w:t>〕</w:t>
      </w:r>
      <w:r>
        <w:rPr>
          <w:rFonts w:ascii="Arial" w:hAnsi="Arial" w:cs="Arial"/>
          <w:kern w:val="0"/>
          <w:szCs w:val="21"/>
        </w:rPr>
        <w:t>68</w:t>
      </w:r>
      <w:r>
        <w:rPr>
          <w:rFonts w:ascii="Arial" w:hAnsi="宋体" w:cs="Arial"/>
          <w:kern w:val="0"/>
          <w:szCs w:val="21"/>
        </w:rPr>
        <w:t>号）第一条或《关于促进残疾人就业政府采购政策的通知》（财库〔</w:t>
      </w:r>
      <w:r>
        <w:rPr>
          <w:rFonts w:ascii="Arial" w:hAnsi="Arial" w:cs="Arial"/>
          <w:kern w:val="0"/>
          <w:szCs w:val="21"/>
        </w:rPr>
        <w:t>2017</w:t>
      </w:r>
      <w:r>
        <w:rPr>
          <w:rFonts w:ascii="Arial" w:hAnsi="宋体" w:cs="Arial"/>
          <w:kern w:val="0"/>
          <w:szCs w:val="21"/>
        </w:rPr>
        <w:t>〕</w:t>
      </w:r>
      <w:r>
        <w:rPr>
          <w:rFonts w:ascii="Arial" w:hAnsi="Arial" w:cs="Arial"/>
          <w:kern w:val="0"/>
          <w:szCs w:val="21"/>
        </w:rPr>
        <w:t>141</w:t>
      </w:r>
      <w:r>
        <w:rPr>
          <w:rFonts w:ascii="Arial" w:hAnsi="宋体" w:cs="Arial"/>
          <w:kern w:val="0"/>
          <w:szCs w:val="21"/>
        </w:rPr>
        <w:t>号）第一条的规定。</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）对于专门面向中小企业或小型、微型企业的项目，只面向中小企业或小型、微型企业采购。对于非专门面向中小企业的项目，对小型和微型企业产品的价格给予</w:t>
      </w:r>
      <w:r>
        <w:rPr>
          <w:rFonts w:ascii="Arial" w:hAnsi="Arial" w:cs="Arial"/>
          <w:kern w:val="0"/>
          <w:szCs w:val="21"/>
        </w:rPr>
        <w:t>10%</w:t>
      </w:r>
      <w:r>
        <w:rPr>
          <w:rFonts w:ascii="Arial" w:hAnsi="宋体" w:cs="Arial"/>
          <w:kern w:val="0"/>
          <w:szCs w:val="21"/>
        </w:rPr>
        <w:t>的扣除，用扣除后的价格参与评审。</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）参加政府采购活动的中小企业应当提供《中小企业声明函》、由省级以上监狱管理局戒毒管理局</w:t>
      </w:r>
      <w:r>
        <w:rPr>
          <w:rFonts w:hint="eastAsia" w:ascii="Arial" w:hAnsi="Arial" w:cs="Arial"/>
          <w:kern w:val="0"/>
          <w:szCs w:val="21"/>
        </w:rPr>
        <w:t>（</w:t>
      </w:r>
      <w:r>
        <w:rPr>
          <w:rFonts w:ascii="Arial" w:hAnsi="宋体" w:cs="Arial"/>
          <w:kern w:val="0"/>
          <w:szCs w:val="21"/>
        </w:rPr>
        <w:t>含新疆生产建设兵团</w:t>
      </w:r>
      <w:r>
        <w:rPr>
          <w:rFonts w:hint="eastAsia" w:ascii="Arial" w:hAnsi="Arial" w:cs="Arial"/>
          <w:kern w:val="0"/>
          <w:szCs w:val="21"/>
        </w:rPr>
        <w:t>）</w:t>
      </w:r>
      <w:r>
        <w:rPr>
          <w:rFonts w:ascii="Arial" w:hAnsi="宋体" w:cs="Arial"/>
          <w:kern w:val="0"/>
          <w:szCs w:val="21"/>
        </w:rPr>
        <w:t>出具的属于监狱企业的证明文件或《残疾人福利性单位声明函》。</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）对于接受投标人以联合体形式参加采购活动的项目，小型、微型企业联合体应当符合《政府采购促进中小企业发展暂行办法》（财库〔</w:t>
      </w:r>
      <w:r>
        <w:rPr>
          <w:rFonts w:ascii="Arial" w:hAnsi="Arial" w:cs="Arial"/>
          <w:kern w:val="0"/>
          <w:szCs w:val="21"/>
        </w:rPr>
        <w:t>2011</w:t>
      </w:r>
      <w:r>
        <w:rPr>
          <w:rFonts w:ascii="Arial" w:hAnsi="宋体" w:cs="Arial"/>
          <w:kern w:val="0"/>
          <w:szCs w:val="21"/>
        </w:rPr>
        <w:t>〕</w:t>
      </w:r>
      <w:r>
        <w:rPr>
          <w:rFonts w:ascii="Arial" w:hAnsi="Arial" w:cs="Arial"/>
          <w:kern w:val="0"/>
          <w:szCs w:val="21"/>
        </w:rPr>
        <w:t>181</w:t>
      </w:r>
      <w:r>
        <w:rPr>
          <w:rFonts w:ascii="Arial" w:hAnsi="宋体" w:cs="Arial"/>
          <w:kern w:val="0"/>
          <w:szCs w:val="21"/>
        </w:rPr>
        <w:t>号）第六条的规定。联合协议中约定，小型、微型企业的协议合同金额占到联合体协议合同总金额</w:t>
      </w:r>
      <w:r>
        <w:rPr>
          <w:rFonts w:ascii="Arial" w:hAnsi="Arial" w:cs="Arial"/>
          <w:kern w:val="0"/>
          <w:szCs w:val="21"/>
        </w:rPr>
        <w:t>30%</w:t>
      </w:r>
      <w:r>
        <w:rPr>
          <w:rFonts w:ascii="Arial" w:hAnsi="宋体" w:cs="Arial"/>
          <w:kern w:val="0"/>
          <w:szCs w:val="21"/>
        </w:rPr>
        <w:t>以上的，给予联合体</w:t>
      </w:r>
      <w:r>
        <w:rPr>
          <w:rFonts w:ascii="Arial" w:hAnsi="Arial" w:cs="Arial"/>
          <w:kern w:val="0"/>
          <w:szCs w:val="21"/>
        </w:rPr>
        <w:t>2%</w:t>
      </w:r>
      <w:r>
        <w:rPr>
          <w:rFonts w:ascii="Arial" w:hAnsi="宋体" w:cs="Arial"/>
          <w:kern w:val="0"/>
          <w:szCs w:val="21"/>
        </w:rPr>
        <w:t>的价格扣除。联合体各方均为小型、微型企业的，联合体视同为小型、微型企业给予</w:t>
      </w:r>
      <w:r>
        <w:rPr>
          <w:rFonts w:ascii="Arial" w:hAnsi="Arial" w:cs="Arial"/>
          <w:kern w:val="0"/>
          <w:szCs w:val="21"/>
        </w:rPr>
        <w:t>10%</w:t>
      </w:r>
      <w:r>
        <w:rPr>
          <w:rFonts w:ascii="Arial" w:hAnsi="宋体" w:cs="Arial"/>
          <w:kern w:val="0"/>
          <w:szCs w:val="21"/>
        </w:rPr>
        <w:t>价格扣除。组成联合体的大中型企业和其他自然人、法人或者其他组织，与小型、微型企业之间不得存在投资关系。</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）中小企业依据《政府采购促进中小企业发展暂行办法》（财库〔</w:t>
      </w:r>
      <w:r>
        <w:rPr>
          <w:rFonts w:ascii="Arial" w:hAnsi="Arial" w:cs="Arial"/>
          <w:kern w:val="0"/>
          <w:szCs w:val="21"/>
        </w:rPr>
        <w:t>2011</w:t>
      </w:r>
      <w:r>
        <w:rPr>
          <w:rFonts w:ascii="Arial" w:hAnsi="宋体" w:cs="Arial"/>
          <w:kern w:val="0"/>
          <w:szCs w:val="21"/>
        </w:rPr>
        <w:t>〕</w:t>
      </w:r>
      <w:r>
        <w:rPr>
          <w:rFonts w:ascii="Arial" w:hAnsi="Arial" w:cs="Arial"/>
          <w:kern w:val="0"/>
          <w:szCs w:val="21"/>
        </w:rPr>
        <w:t>181</w:t>
      </w:r>
      <w:r>
        <w:rPr>
          <w:rFonts w:ascii="Arial" w:hAnsi="宋体" w:cs="Arial"/>
          <w:kern w:val="0"/>
          <w:szCs w:val="21"/>
        </w:rPr>
        <w:t>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3.2</w:t>
      </w:r>
      <w:r>
        <w:rPr>
          <w:rFonts w:ascii="Arial" w:hAnsi="宋体" w:cs="Arial"/>
          <w:kern w:val="0"/>
          <w:szCs w:val="21"/>
        </w:rPr>
        <w:t>节能产品、环境标志产品政策</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）政府采购节能产品、环境标志产品实施品目清单管理。</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）拟采购产品属于节能产品、环境标志产品品目清单规定必须强制采购的，实行强制采购。</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）拟采购产品属于节能产品、环境标志产品品目清单规定优先采购的，在性能、技术、服务等指标同等条件下，实行优先采购，优先采购的评审标准详见本招标文件第三章。</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）参加政府采购活动的节能产品、环境标志产品投标人应当提供国家确定的认证机构出具的、处于有效期之内的节能产品、环境标志产品认证证书。</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3.3</w:t>
      </w:r>
      <w:r>
        <w:rPr>
          <w:rFonts w:ascii="Arial" w:hAnsi="宋体" w:cs="Arial"/>
          <w:kern w:val="0"/>
          <w:szCs w:val="21"/>
        </w:rPr>
        <w:t>进口产品政策</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）除招标公告载明接受进口产品参加外，不允许进口产品参加。进口产品认定依照《财政部关于政府采购进口产品管理有关问题的通知》（财办库〔</w:t>
      </w:r>
      <w:r>
        <w:rPr>
          <w:rFonts w:ascii="Arial" w:hAnsi="Arial" w:cs="Arial"/>
          <w:kern w:val="0"/>
          <w:szCs w:val="21"/>
        </w:rPr>
        <w:t>2008</w:t>
      </w:r>
      <w:r>
        <w:rPr>
          <w:rFonts w:ascii="Arial" w:hAnsi="宋体" w:cs="Arial"/>
          <w:kern w:val="0"/>
          <w:szCs w:val="21"/>
        </w:rPr>
        <w:t>〕</w:t>
      </w:r>
      <w:r>
        <w:rPr>
          <w:rFonts w:ascii="Arial" w:hAnsi="Arial" w:cs="Arial"/>
          <w:kern w:val="0"/>
          <w:szCs w:val="21"/>
        </w:rPr>
        <w:t>248</w:t>
      </w:r>
      <w:r>
        <w:rPr>
          <w:rFonts w:ascii="Arial" w:hAnsi="宋体" w:cs="Arial"/>
          <w:kern w:val="0"/>
          <w:szCs w:val="21"/>
        </w:rPr>
        <w:t>号）的规定。</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）允许进口产品参加的，满足需求的国内产品可以参加。</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）允许进口产品参加的，优先采购向我国企业转让技术、与我国企业签订消化吸收再创新方案的投标人的进口产品。</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3.4</w:t>
      </w:r>
      <w:r>
        <w:rPr>
          <w:rFonts w:ascii="Arial" w:hAnsi="宋体" w:cs="Arial"/>
          <w:kern w:val="0"/>
          <w:szCs w:val="21"/>
        </w:rPr>
        <w:t>未按要求提供相关材料的，不享受相关政策。</w:t>
      </w:r>
    </w:p>
    <w:p>
      <w:pPr>
        <w:widowControl/>
        <w:shd w:val="clear" w:color="auto" w:fill="FFFFFF"/>
        <w:spacing w:line="360" w:lineRule="auto"/>
        <w:ind w:firstLine="412"/>
        <w:rPr>
          <w:rFonts w:ascii="Arial" w:hAnsi="Arial" w:cs="Arial"/>
          <w:kern w:val="0"/>
          <w:szCs w:val="21"/>
        </w:rPr>
      </w:pPr>
      <w:r>
        <w:rPr>
          <w:rFonts w:ascii="Arial" w:hAnsi="宋体" w:cs="Arial"/>
          <w:b/>
          <w:bCs/>
          <w:kern w:val="0"/>
          <w:szCs w:val="21"/>
        </w:rPr>
        <w:t>二、招标文件构成</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4</w:t>
      </w:r>
      <w:r>
        <w:rPr>
          <w:rFonts w:ascii="Arial" w:hAnsi="宋体" w:cs="Arial"/>
          <w:b/>
          <w:bCs/>
          <w:kern w:val="0"/>
          <w:szCs w:val="21"/>
        </w:rPr>
        <w:t>、招标文件组成</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4.1</w:t>
      </w:r>
      <w:r>
        <w:rPr>
          <w:rFonts w:ascii="Arial" w:hAnsi="宋体" w:cs="Arial"/>
          <w:kern w:val="0"/>
          <w:szCs w:val="21"/>
        </w:rPr>
        <w:t>招标文件包括以下主要内容：招标公告；投标人须知；投标人应当提交的资格、资信证明文件；为落实政府采购政策，采购标的需满足的要求，以及投标人须提供的证明材料；投标文件编制要求、投标报价要求和投标保证金交纳、退还方式以及不予退还投标保证金的情形；</w:t>
      </w:r>
      <w:r>
        <w:rPr>
          <w:rFonts w:hint="eastAsia" w:ascii="Arial" w:hAnsi="宋体" w:cs="Arial"/>
          <w:kern w:val="0"/>
          <w:szCs w:val="21"/>
        </w:rPr>
        <w:t>招标</w:t>
      </w:r>
      <w:r>
        <w:rPr>
          <w:rFonts w:ascii="Arial" w:hAnsi="宋体" w:cs="Arial"/>
          <w:kern w:val="0"/>
          <w:szCs w:val="21"/>
        </w:rPr>
        <w:t>项目预算金额，设定最高限价的，还应当公开最高限价；</w:t>
      </w:r>
      <w:r>
        <w:rPr>
          <w:rFonts w:hint="eastAsia" w:ascii="Arial" w:hAnsi="宋体" w:cs="Arial"/>
          <w:kern w:val="0"/>
          <w:szCs w:val="21"/>
        </w:rPr>
        <w:t>招标</w:t>
      </w:r>
      <w:r>
        <w:rPr>
          <w:rFonts w:ascii="Arial" w:hAnsi="宋体" w:cs="Arial"/>
          <w:kern w:val="0"/>
          <w:szCs w:val="21"/>
        </w:rPr>
        <w:t>项目的技术规格、数量、服务标准、验收等要求，包括附件、图纸等；拟签订的合同文本；货物、服务提供的时间、地点、方式；采购资金的支付方式、时间、条件；评标方法、评标标准和投标无效情形；投标有效期；投标截止时间、开标时间及地点；</w:t>
      </w:r>
      <w:r>
        <w:rPr>
          <w:rFonts w:hint="eastAsia" w:ascii="Arial" w:hAnsi="宋体" w:cs="Arial"/>
          <w:kern w:val="0"/>
          <w:szCs w:val="21"/>
        </w:rPr>
        <w:t>招标</w:t>
      </w:r>
      <w:r>
        <w:rPr>
          <w:rFonts w:ascii="Arial" w:hAnsi="宋体" w:cs="Arial"/>
          <w:kern w:val="0"/>
          <w:szCs w:val="21"/>
        </w:rPr>
        <w:t>代理机构代理费用的收取标准和方式；投标人信用信息查询渠道及截止时点、信用信息查询记录和证据留存的具体方式、信用信息的使用规则等；省级以上财政部门规定的其他事项。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4.2 </w:t>
      </w:r>
      <w:r>
        <w:rPr>
          <w:rFonts w:ascii="Arial" w:hAnsi="宋体" w:cs="Arial"/>
          <w:kern w:val="0"/>
          <w:szCs w:val="21"/>
        </w:rPr>
        <w:t>招标的最小单位是包。招标货物数量及技术要求中未分包的，投标人对要求提供的货物和服务不得部分投标；招标货物数量及技术要求中已经分包的，可以以包为单位投标。</w:t>
      </w:r>
    </w:p>
    <w:p>
      <w:pPr>
        <w:widowControl/>
        <w:shd w:val="clear" w:color="auto" w:fill="FFFFFF"/>
        <w:spacing w:line="360" w:lineRule="auto"/>
        <w:ind w:firstLine="420"/>
        <w:rPr>
          <w:rFonts w:ascii="Arial" w:hAnsi="宋体" w:cs="Arial"/>
          <w:kern w:val="0"/>
          <w:szCs w:val="21"/>
        </w:rPr>
      </w:pPr>
      <w:r>
        <w:rPr>
          <w:rFonts w:ascii="Arial" w:hAnsi="Arial" w:cs="Arial"/>
          <w:kern w:val="0"/>
          <w:szCs w:val="21"/>
        </w:rPr>
        <w:t xml:space="preserve">4.3 </w:t>
      </w:r>
      <w:r>
        <w:rPr>
          <w:rFonts w:ascii="Arial" w:hAnsi="宋体" w:cs="Arial"/>
          <w:kern w:val="0"/>
          <w:szCs w:val="21"/>
        </w:rPr>
        <w:t>招标代理机构如果要求投标人按照招标文件规定提交备选投标方案的，投标人可以提交备选方案；否则，备选方案将被拒绝。</w:t>
      </w:r>
    </w:p>
    <w:p>
      <w:pPr>
        <w:widowControl/>
        <w:shd w:val="clear" w:color="auto" w:fill="FFFFFF"/>
        <w:spacing w:line="360" w:lineRule="auto"/>
        <w:ind w:firstLine="420"/>
        <w:rPr>
          <w:rFonts w:ascii="Arial" w:hAnsi="Arial" w:cs="Arial"/>
          <w:kern w:val="0"/>
          <w:szCs w:val="21"/>
        </w:rPr>
      </w:pPr>
      <w:r>
        <w:rPr>
          <w:rFonts w:hint="eastAsia" w:ascii="Arial" w:hAnsi="Arial" w:cs="Arial"/>
          <w:kern w:val="0"/>
          <w:szCs w:val="21"/>
        </w:rPr>
        <w:t>4</w:t>
      </w:r>
      <w:r>
        <w:rPr>
          <w:rFonts w:ascii="Arial" w:hAnsi="Arial" w:cs="Arial"/>
          <w:kern w:val="0"/>
          <w:szCs w:val="21"/>
        </w:rPr>
        <w:t>.</w:t>
      </w:r>
      <w:r>
        <w:rPr>
          <w:rFonts w:hint="eastAsia" w:ascii="Arial" w:hAnsi="Arial" w:cs="Arial"/>
          <w:kern w:val="0"/>
          <w:szCs w:val="21"/>
        </w:rPr>
        <w:t>4</w:t>
      </w:r>
      <w:r>
        <w:rPr>
          <w:rFonts w:ascii="Arial" w:hAnsi="宋体" w:cs="Arial"/>
          <w:kern w:val="0"/>
          <w:szCs w:val="21"/>
        </w:rPr>
        <w:t>招标文件中要求的产品品牌或型号，是招标人根据项目所要实现的功能推荐的品牌或型号，仅供投标人参考，并不是限制条件。</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5</w:t>
      </w:r>
      <w:r>
        <w:rPr>
          <w:rFonts w:ascii="Arial" w:hAnsi="宋体" w:cs="Arial"/>
          <w:b/>
          <w:bCs/>
          <w:kern w:val="0"/>
          <w:szCs w:val="21"/>
        </w:rPr>
        <w:t>、招标文件的澄清或者修改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5.1</w:t>
      </w:r>
      <w:r>
        <w:rPr>
          <w:rFonts w:hint="eastAsia" w:ascii="Arial" w:hAnsi="宋体" w:cs="Arial"/>
          <w:kern w:val="0"/>
          <w:szCs w:val="21"/>
        </w:rPr>
        <w:t>招</w:t>
      </w:r>
      <w:r>
        <w:rPr>
          <w:rFonts w:ascii="Arial" w:hAnsi="宋体" w:cs="Arial"/>
          <w:kern w:val="0"/>
          <w:szCs w:val="21"/>
        </w:rPr>
        <w:t>标人或者招标代理机构可以对已发出的招标文件进行必要的澄清或者修改，但不得改变采购标的和资格条件。澄清或者修改应当在原公告发布媒体上发布澄清公告</w:t>
      </w:r>
      <w:r>
        <w:rPr>
          <w:rFonts w:hint="eastAsia" w:ascii="Arial" w:hAnsi="宋体" w:cs="Arial"/>
          <w:kern w:val="0"/>
          <w:szCs w:val="21"/>
        </w:rPr>
        <w:t>。</w:t>
      </w:r>
      <w:r>
        <w:rPr>
          <w:rFonts w:ascii="Arial" w:hAnsi="宋体" w:cs="Arial"/>
          <w:kern w:val="0"/>
          <w:szCs w:val="21"/>
        </w:rPr>
        <w:t>澄清或者修改的内容为招标文件的组成部分。</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澄清或者修改的内容可能影响投标文件编制的，</w:t>
      </w:r>
      <w:r>
        <w:rPr>
          <w:rFonts w:hint="eastAsia" w:ascii="Arial" w:hAnsi="宋体" w:cs="Arial"/>
          <w:kern w:val="0"/>
          <w:szCs w:val="21"/>
        </w:rPr>
        <w:t>招</w:t>
      </w:r>
      <w:r>
        <w:rPr>
          <w:rFonts w:ascii="Arial" w:hAnsi="宋体" w:cs="Arial"/>
          <w:kern w:val="0"/>
          <w:szCs w:val="21"/>
        </w:rPr>
        <w:t>标人或者招标代理机构应当在投标截止时间至少</w:t>
      </w:r>
      <w:r>
        <w:rPr>
          <w:rFonts w:ascii="Arial" w:hAnsi="Arial" w:cs="Arial"/>
          <w:kern w:val="0"/>
          <w:szCs w:val="21"/>
        </w:rPr>
        <w:t>15</w:t>
      </w:r>
      <w:r>
        <w:rPr>
          <w:rFonts w:ascii="Arial" w:hAnsi="宋体" w:cs="Arial"/>
          <w:kern w:val="0"/>
          <w:szCs w:val="21"/>
        </w:rPr>
        <w:t>日前，以书面形式通知所有获取招标文件的潜在投标人；不足</w:t>
      </w:r>
      <w:r>
        <w:rPr>
          <w:rFonts w:ascii="Arial" w:hAnsi="Arial" w:cs="Arial"/>
          <w:kern w:val="0"/>
          <w:szCs w:val="21"/>
        </w:rPr>
        <w:t>15</w:t>
      </w:r>
      <w:r>
        <w:rPr>
          <w:rFonts w:ascii="Arial" w:hAnsi="宋体" w:cs="Arial"/>
          <w:kern w:val="0"/>
          <w:szCs w:val="21"/>
        </w:rPr>
        <w:t>日的，</w:t>
      </w:r>
      <w:r>
        <w:rPr>
          <w:rFonts w:hint="eastAsia" w:ascii="Arial" w:hAnsi="宋体" w:cs="Arial"/>
          <w:kern w:val="0"/>
          <w:szCs w:val="21"/>
        </w:rPr>
        <w:t>招</w:t>
      </w:r>
      <w:r>
        <w:rPr>
          <w:rFonts w:ascii="Arial" w:hAnsi="宋体" w:cs="Arial"/>
          <w:kern w:val="0"/>
          <w:szCs w:val="21"/>
        </w:rPr>
        <w:t>标人或者招标代理机构应当顺延提交投标文件的截止时间。</w:t>
      </w:r>
    </w:p>
    <w:p>
      <w:pPr>
        <w:widowControl/>
        <w:shd w:val="clear" w:color="auto" w:fill="FFFFFF"/>
        <w:spacing w:line="360" w:lineRule="auto"/>
        <w:ind w:firstLine="420"/>
        <w:rPr>
          <w:rFonts w:ascii="Arial" w:hAnsi="Arial" w:cs="Arial"/>
          <w:kern w:val="0"/>
          <w:szCs w:val="21"/>
        </w:rPr>
      </w:pPr>
      <w:r>
        <w:rPr>
          <w:rFonts w:ascii="Arial" w:hAnsi="宋体" w:cs="Arial"/>
          <w:b/>
          <w:bCs/>
          <w:kern w:val="0"/>
          <w:szCs w:val="21"/>
        </w:rPr>
        <w:t>三、投标文件的编制</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6</w:t>
      </w:r>
      <w:r>
        <w:rPr>
          <w:rFonts w:ascii="Arial" w:hAnsi="宋体" w:cs="Arial"/>
          <w:b/>
          <w:bCs/>
          <w:kern w:val="0"/>
          <w:szCs w:val="21"/>
        </w:rPr>
        <w:t>、投标文件的语言、计量单位、货币和编制</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6.1</w:t>
      </w:r>
      <w:r>
        <w:rPr>
          <w:rFonts w:ascii="Arial" w:hAnsi="宋体" w:cs="Arial"/>
          <w:kern w:val="0"/>
          <w:szCs w:val="21"/>
        </w:rPr>
        <w:t>投标人提交的投标文件、技术文件和资料，包括图纸中的说明，以及投标人与招标代理机构就有关投标的所有来往函电均应使用中文。投标文件中若有英文或其他语言文字的资料，应提供相应的中文翻译资料。对不同文本投标文件的解释发生异议的，以中文文本为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6.2</w:t>
      </w:r>
      <w:r>
        <w:rPr>
          <w:rFonts w:ascii="Arial" w:hAnsi="宋体" w:cs="Arial"/>
          <w:kern w:val="0"/>
          <w:szCs w:val="21"/>
        </w:rPr>
        <w:t>投标人所使用的计量单位应为国家法定计量单位。</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6.3</w:t>
      </w:r>
      <w:r>
        <w:rPr>
          <w:rFonts w:ascii="Arial" w:hAnsi="宋体" w:cs="Arial"/>
          <w:kern w:val="0"/>
          <w:szCs w:val="21"/>
        </w:rPr>
        <w:t>投标人应用人民币报价。投标产品如果是进口产品的，应提供人民币与</w:t>
      </w:r>
      <w:r>
        <w:rPr>
          <w:rFonts w:ascii="Arial" w:hAnsi="宋体" w:cs="Arial"/>
          <w:b/>
          <w:bCs/>
          <w:kern w:val="0"/>
          <w:szCs w:val="21"/>
        </w:rPr>
        <w:t>外币之间的汇率；报价单位为</w:t>
      </w:r>
      <w:r>
        <w:rPr>
          <w:rFonts w:ascii="Arial" w:hAnsi="Arial" w:cs="Arial"/>
          <w:b/>
          <w:bCs/>
          <w:kern w:val="0"/>
          <w:szCs w:val="21"/>
        </w:rPr>
        <w:t>“</w:t>
      </w:r>
      <w:r>
        <w:rPr>
          <w:rFonts w:ascii="Arial" w:hAnsi="宋体" w:cs="Arial"/>
          <w:b/>
          <w:bCs/>
          <w:kern w:val="0"/>
          <w:szCs w:val="21"/>
        </w:rPr>
        <w:t>元</w:t>
      </w:r>
      <w:r>
        <w:rPr>
          <w:rFonts w:ascii="Arial" w:hAnsi="Arial" w:cs="Arial"/>
          <w:b/>
          <w:bCs/>
          <w:kern w:val="0"/>
          <w:szCs w:val="21"/>
        </w:rPr>
        <w:t>”</w:t>
      </w:r>
      <w:r>
        <w:rPr>
          <w:rFonts w:ascii="Arial" w:hAnsi="宋体" w:cs="Arial"/>
          <w:b/>
          <w:bCs/>
          <w:kern w:val="0"/>
          <w:szCs w:val="21"/>
        </w:rPr>
        <w:t>。</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6.</w:t>
      </w:r>
      <w:r>
        <w:rPr>
          <w:rFonts w:hint="eastAsia" w:ascii="Arial" w:hAnsi="Arial" w:cs="Arial"/>
          <w:kern w:val="0"/>
          <w:szCs w:val="21"/>
        </w:rPr>
        <w:t>4</w:t>
      </w:r>
      <w:r>
        <w:rPr>
          <w:rFonts w:ascii="Arial" w:hAnsi="宋体" w:cs="Arial"/>
          <w:kern w:val="0"/>
          <w:szCs w:val="21"/>
        </w:rPr>
        <w:t>投标文件应按照招标文件规定的顺序，统一用</w:t>
      </w:r>
      <w:r>
        <w:rPr>
          <w:rFonts w:ascii="Arial" w:hAnsi="Arial" w:cs="Arial"/>
          <w:kern w:val="0"/>
          <w:szCs w:val="21"/>
        </w:rPr>
        <w:t>A4</w:t>
      </w:r>
      <w:r>
        <w:rPr>
          <w:rFonts w:ascii="Arial" w:hAnsi="宋体" w:cs="Arial"/>
          <w:kern w:val="0"/>
          <w:szCs w:val="21"/>
        </w:rPr>
        <w:t>规格幅面打印、装订成册并编制目录，由于编排混乱导致投标文件被误读或查找不到，责任由投标人承担。</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6.</w:t>
      </w:r>
      <w:r>
        <w:rPr>
          <w:rFonts w:hint="eastAsia" w:ascii="Arial" w:hAnsi="Arial" w:cs="Arial"/>
          <w:kern w:val="0"/>
          <w:szCs w:val="21"/>
        </w:rPr>
        <w:t>5</w:t>
      </w:r>
      <w:r>
        <w:rPr>
          <w:rFonts w:ascii="Arial" w:hAnsi="宋体" w:cs="Arial"/>
          <w:kern w:val="0"/>
          <w:szCs w:val="21"/>
        </w:rPr>
        <w:t>投标人应在投标文件中写清相应的项目编号、项目名称、投标人全称、地址、电话、传真等。</w:t>
      </w:r>
    </w:p>
    <w:p>
      <w:pPr>
        <w:widowControl/>
        <w:shd w:val="clear" w:color="auto" w:fill="FFFFFF"/>
        <w:spacing w:line="360" w:lineRule="auto"/>
        <w:ind w:firstLine="412"/>
        <w:rPr>
          <w:rFonts w:ascii="Arial" w:hAnsi="Arial" w:cs="Arial"/>
          <w:kern w:val="0"/>
          <w:szCs w:val="21"/>
        </w:rPr>
      </w:pPr>
      <w:r>
        <w:rPr>
          <w:rFonts w:ascii="Arial" w:hAnsi="Arial" w:cs="Arial"/>
          <w:bCs/>
          <w:kern w:val="0"/>
          <w:szCs w:val="21"/>
        </w:rPr>
        <w:t>6.</w:t>
      </w:r>
      <w:r>
        <w:rPr>
          <w:rFonts w:hint="eastAsia" w:ascii="Arial" w:hAnsi="Arial" w:cs="Arial"/>
          <w:bCs/>
          <w:kern w:val="0"/>
          <w:szCs w:val="21"/>
        </w:rPr>
        <w:t>6</w:t>
      </w:r>
      <w:r>
        <w:rPr>
          <w:rFonts w:ascii="Arial" w:hAnsi="宋体" w:cs="Arial"/>
          <w:kern w:val="0"/>
          <w:szCs w:val="21"/>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420"/>
        <w:rPr>
          <w:rFonts w:ascii="Arial" w:hAnsi="Arial" w:cs="Arial"/>
          <w:b/>
          <w:bCs/>
          <w:kern w:val="0"/>
          <w:szCs w:val="21"/>
        </w:rPr>
      </w:pPr>
      <w:r>
        <w:rPr>
          <w:rFonts w:ascii="Arial" w:hAnsi="Arial" w:cs="Arial"/>
          <w:b/>
          <w:bCs/>
          <w:kern w:val="0"/>
          <w:szCs w:val="21"/>
        </w:rPr>
        <w:t>7、联合体投标</w:t>
      </w:r>
    </w:p>
    <w:p>
      <w:pPr>
        <w:widowControl/>
        <w:shd w:val="clear" w:color="auto" w:fill="FFFFFF"/>
        <w:spacing w:line="360" w:lineRule="auto"/>
        <w:ind w:firstLine="420"/>
        <w:rPr>
          <w:rFonts w:ascii="Arial" w:hAnsi="Arial" w:cs="Arial"/>
          <w:bCs/>
          <w:kern w:val="0"/>
          <w:szCs w:val="21"/>
        </w:rPr>
      </w:pPr>
      <w:r>
        <w:rPr>
          <w:rFonts w:ascii="Arial" w:hAnsi="Arial" w:cs="Arial"/>
          <w:bCs/>
          <w:kern w:val="0"/>
          <w:szCs w:val="21"/>
        </w:rPr>
        <w:t>7.1 两个以上的自然人、法人或者其他组织可以组成一个联合体，以一个投标人的身份共同参加政府采购。</w:t>
      </w:r>
    </w:p>
    <w:p>
      <w:pPr>
        <w:widowControl/>
        <w:shd w:val="clear" w:color="auto" w:fill="FFFFFF"/>
        <w:spacing w:line="360" w:lineRule="auto"/>
        <w:ind w:firstLine="420"/>
        <w:rPr>
          <w:rFonts w:ascii="Arial" w:hAnsi="Arial" w:cs="Arial"/>
          <w:bCs/>
          <w:kern w:val="0"/>
          <w:szCs w:val="21"/>
        </w:rPr>
      </w:pPr>
      <w:r>
        <w:rPr>
          <w:rFonts w:ascii="Arial" w:hAnsi="Arial" w:cs="Arial"/>
          <w:bCs/>
          <w:kern w:val="0"/>
          <w:szCs w:val="21"/>
        </w:rPr>
        <w:t>7.2 联合体中有同类资质的投标人按照联合体分工承担相同工作的，按照资质等级较低的投标人确定资质等级。</w:t>
      </w:r>
    </w:p>
    <w:p>
      <w:pPr>
        <w:widowControl/>
        <w:shd w:val="clear" w:color="auto" w:fill="FFFFFF"/>
        <w:spacing w:line="360" w:lineRule="auto"/>
        <w:ind w:firstLine="420"/>
        <w:rPr>
          <w:rFonts w:ascii="Arial" w:hAnsi="Arial" w:cs="Arial"/>
          <w:bCs/>
          <w:kern w:val="0"/>
          <w:szCs w:val="21"/>
        </w:rPr>
      </w:pPr>
      <w:r>
        <w:rPr>
          <w:rFonts w:ascii="Arial" w:hAnsi="Arial" w:cs="Arial"/>
          <w:bCs/>
          <w:kern w:val="0"/>
          <w:szCs w:val="21"/>
        </w:rPr>
        <w:t>7.3 联合体各方之间应当签订联合体协议，明确约定联合体各方承担的工作和相应的责任，并将联合体协议连同投标文件一同提交。</w:t>
      </w:r>
    </w:p>
    <w:p>
      <w:pPr>
        <w:widowControl/>
        <w:shd w:val="clear" w:color="auto" w:fill="FFFFFF"/>
        <w:spacing w:line="360" w:lineRule="auto"/>
        <w:ind w:firstLine="412"/>
        <w:rPr>
          <w:rFonts w:ascii="Arial" w:hAnsi="Arial" w:cs="Arial"/>
          <w:kern w:val="0"/>
          <w:szCs w:val="21"/>
        </w:rPr>
      </w:pPr>
      <w:r>
        <w:rPr>
          <w:rFonts w:ascii="Arial" w:hAnsi="Arial" w:cs="Arial"/>
          <w:bCs/>
          <w:kern w:val="0"/>
          <w:szCs w:val="21"/>
        </w:rPr>
        <w:t>7.4 以联合体形式参加政府采购活动的，联合体各方不得再单独参加或者与其他投标人另外组成联合体参加同一合同项下的政府采购活动。</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8</w:t>
      </w:r>
      <w:r>
        <w:rPr>
          <w:rFonts w:ascii="Arial" w:hAnsi="宋体" w:cs="Arial"/>
          <w:b/>
          <w:bCs/>
          <w:kern w:val="0"/>
          <w:szCs w:val="21"/>
        </w:rPr>
        <w:t>、投标文件的组成</w:t>
      </w:r>
    </w:p>
    <w:p>
      <w:pPr>
        <w:widowControl/>
        <w:shd w:val="clear" w:color="auto" w:fill="FFFFFF"/>
        <w:spacing w:line="360" w:lineRule="auto"/>
        <w:ind w:firstLine="420"/>
        <w:jc w:val="left"/>
        <w:rPr>
          <w:rFonts w:ascii="Arial" w:hAnsi="Arial" w:cs="Arial"/>
          <w:b/>
          <w:kern w:val="0"/>
          <w:szCs w:val="21"/>
        </w:rPr>
      </w:pPr>
      <w:r>
        <w:rPr>
          <w:rFonts w:ascii="Arial" w:hAnsi="Arial" w:cs="Arial"/>
          <w:kern w:val="0"/>
          <w:szCs w:val="21"/>
        </w:rPr>
        <w:t>8.1</w:t>
      </w:r>
      <w:r>
        <w:rPr>
          <w:rFonts w:ascii="Arial" w:hAnsi="宋体" w:cs="Arial"/>
          <w:kern w:val="0"/>
          <w:szCs w:val="21"/>
        </w:rPr>
        <w:t>投标人应当根据招标文件要求编制投标文件，投标文件应对招标文件提出的要求和条件作出实质性响应，并在《商务条款偏离表》和《技术规格偏离表》等处逐条标明满足与否。</w:t>
      </w:r>
      <w:r>
        <w:rPr>
          <w:rFonts w:ascii="Arial" w:hAnsi="Arial" w:cs="Arial"/>
          <w:b/>
          <w:kern w:val="0"/>
          <w:szCs w:val="21"/>
        </w:rPr>
        <w:t>对带</w:t>
      </w:r>
      <w:r>
        <w:rPr>
          <w:rFonts w:ascii="Arial" w:hAnsi="Arial" w:cs="Arial"/>
          <w:b/>
          <w:bCs/>
          <w:kern w:val="0"/>
          <w:szCs w:val="21"/>
        </w:rPr>
        <w:t>星号（“</w:t>
      </w:r>
      <w:r>
        <w:rPr>
          <w:rFonts w:ascii="Arial" w:hAnsi="Arial" w:cs="Arial"/>
          <w:b/>
          <w:bCs/>
        </w:rPr>
        <w:t>*</w:t>
      </w:r>
      <w:r>
        <w:rPr>
          <w:rFonts w:ascii="Arial" w:hAnsi="Arial" w:cs="Arial"/>
          <w:b/>
          <w:bCs/>
          <w:kern w:val="0"/>
          <w:szCs w:val="21"/>
        </w:rPr>
        <w:t>”）的技术条款必须在投标文件中提供技术支持资料（如白皮书</w:t>
      </w:r>
      <w:r>
        <w:rPr>
          <w:rFonts w:hint="eastAsia" w:ascii="Arial" w:hAnsi="Arial" w:cs="Arial"/>
          <w:b/>
          <w:bCs/>
          <w:kern w:val="0"/>
          <w:szCs w:val="21"/>
        </w:rPr>
        <w:t>、</w:t>
      </w:r>
      <w:r>
        <w:rPr>
          <w:rFonts w:ascii="Arial" w:hAnsi="Arial" w:cs="Arial"/>
          <w:b/>
          <w:bCs/>
          <w:kern w:val="0"/>
          <w:szCs w:val="21"/>
        </w:rPr>
        <w:t>彩页、手册、检测报告等），未提供技术支持资料的，视为未对招标文件实质性要求作出响应</w:t>
      </w:r>
      <w:r>
        <w:rPr>
          <w:rFonts w:hint="eastAsia" w:ascii="Arial" w:hAnsi="Arial" w:cs="Arial"/>
          <w:b/>
          <w:bCs/>
          <w:kern w:val="0"/>
          <w:szCs w:val="21"/>
        </w:rPr>
        <w:t>，</w:t>
      </w:r>
      <w:r>
        <w:rPr>
          <w:rFonts w:ascii="Arial" w:hAnsi="Arial" w:cs="Arial"/>
          <w:b/>
          <w:bCs/>
          <w:kern w:val="0"/>
          <w:szCs w:val="21"/>
        </w:rPr>
        <w:t>评审时不予认可。</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8.2 </w:t>
      </w:r>
      <w:r>
        <w:rPr>
          <w:rFonts w:ascii="Arial" w:hAnsi="宋体" w:cs="Arial"/>
          <w:kern w:val="0"/>
          <w:szCs w:val="21"/>
        </w:rPr>
        <w:t>投标文件由商务部分、技术部分、价格部分以及其他部分组成。</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9</w:t>
      </w:r>
      <w:r>
        <w:rPr>
          <w:rFonts w:ascii="Arial" w:hAnsi="宋体" w:cs="Arial"/>
          <w:b/>
          <w:bCs/>
          <w:kern w:val="0"/>
          <w:szCs w:val="21"/>
        </w:rPr>
        <w:t>、投标文件的商务部分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9.1</w:t>
      </w:r>
      <w:r>
        <w:rPr>
          <w:rFonts w:ascii="Arial" w:hAnsi="宋体" w:cs="Arial"/>
          <w:kern w:val="0"/>
          <w:szCs w:val="21"/>
        </w:rPr>
        <w:t>商务部分是证明投标人有资格参加投标和中标后有能力履行合同的文件，这些文件应能满足招标的要求，包括但不限于下列文件（</w:t>
      </w:r>
      <w:r>
        <w:rPr>
          <w:rFonts w:ascii="Arial" w:hAnsi="宋体" w:cs="Arial"/>
          <w:b/>
          <w:kern w:val="0"/>
          <w:szCs w:val="21"/>
        </w:rPr>
        <w:t>（</w:t>
      </w:r>
      <w:r>
        <w:rPr>
          <w:rFonts w:ascii="Arial" w:hAnsi="Arial" w:cs="Arial"/>
          <w:b/>
          <w:kern w:val="0"/>
          <w:szCs w:val="21"/>
        </w:rPr>
        <w:t>1</w:t>
      </w:r>
      <w:r>
        <w:rPr>
          <w:rFonts w:ascii="Arial" w:hAnsi="宋体" w:cs="Arial"/>
          <w:b/>
          <w:kern w:val="0"/>
          <w:szCs w:val="21"/>
        </w:rPr>
        <w:t>）</w:t>
      </w:r>
      <w:r>
        <w:rPr>
          <w:rFonts w:ascii="Arial" w:hAnsi="Arial" w:cs="Arial"/>
          <w:b/>
          <w:kern w:val="0"/>
          <w:szCs w:val="21"/>
        </w:rPr>
        <w:t>-</w:t>
      </w:r>
      <w:r>
        <w:rPr>
          <w:rFonts w:ascii="Arial" w:hAnsi="宋体" w:cs="Arial"/>
          <w:b/>
          <w:kern w:val="0"/>
          <w:szCs w:val="21"/>
        </w:rPr>
        <w:t>（</w:t>
      </w:r>
      <w:r>
        <w:rPr>
          <w:rFonts w:hint="eastAsia" w:ascii="Arial" w:hAnsi="Arial" w:cs="Arial"/>
          <w:b/>
          <w:kern w:val="0"/>
          <w:szCs w:val="21"/>
        </w:rPr>
        <w:t>6</w:t>
      </w:r>
      <w:r>
        <w:rPr>
          <w:rFonts w:ascii="Arial" w:hAnsi="宋体" w:cs="Arial"/>
          <w:b/>
          <w:kern w:val="0"/>
          <w:szCs w:val="21"/>
        </w:rPr>
        <w:t>）所述材料</w:t>
      </w:r>
      <w:r>
        <w:rPr>
          <w:rFonts w:hint="eastAsia" w:ascii="Arial" w:hAnsi="宋体" w:cs="Arial"/>
          <w:b/>
          <w:kern w:val="0"/>
          <w:szCs w:val="21"/>
        </w:rPr>
        <w:t>不得</w:t>
      </w:r>
      <w:r>
        <w:rPr>
          <w:rFonts w:ascii="Arial" w:hAnsi="宋体" w:cs="Arial"/>
          <w:b/>
          <w:kern w:val="0"/>
          <w:szCs w:val="21"/>
        </w:rPr>
        <w:t>有缺失或提供不全或不满足招标文件的实质性要求</w:t>
      </w:r>
      <w:r>
        <w:rPr>
          <w:rFonts w:ascii="Arial" w:hAnsi="宋体" w:cs="Arial"/>
          <w:kern w:val="0"/>
          <w:szCs w:val="21"/>
        </w:rPr>
        <w:t>）：</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）投标函（投标申请及声明）</w:t>
      </w:r>
      <w:r>
        <w:rPr>
          <w:rFonts w:ascii="Arial" w:hAnsi="宋体" w:cs="Arial"/>
          <w:bCs/>
          <w:szCs w:val="21"/>
        </w:rPr>
        <w:t>（</w:t>
      </w:r>
      <w:r>
        <w:rPr>
          <w:rFonts w:ascii="Arial" w:hAnsi="宋体" w:cs="Arial"/>
          <w:b/>
          <w:bCs/>
          <w:szCs w:val="21"/>
        </w:rPr>
        <w:t>格式见附件</w:t>
      </w:r>
      <w:r>
        <w:rPr>
          <w:rFonts w:ascii="Arial" w:hAnsi="宋体" w:cs="Arial"/>
          <w:bCs/>
          <w:szCs w:val="21"/>
        </w:rPr>
        <w:t>）</w:t>
      </w:r>
      <w:r>
        <w:rPr>
          <w:rFonts w:ascii="Arial" w:hAnsi="宋体" w:cs="Arial"/>
          <w:kern w:val="0"/>
          <w:szCs w:val="21"/>
        </w:rPr>
        <w:t>；</w:t>
      </w:r>
    </w:p>
    <w:p>
      <w:pPr>
        <w:widowControl/>
        <w:shd w:val="clear" w:color="auto" w:fill="FFFFFF"/>
        <w:spacing w:line="360" w:lineRule="auto"/>
        <w:ind w:firstLine="420" w:firstLineChars="200"/>
        <w:jc w:val="left"/>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）法定代表人授权委托书及委托代理人的身份证明文件的复印件</w:t>
      </w:r>
      <w:r>
        <w:rPr>
          <w:rFonts w:ascii="Arial" w:hAnsi="宋体" w:cs="Arial"/>
          <w:bCs/>
          <w:szCs w:val="21"/>
        </w:rPr>
        <w:t>（</w:t>
      </w:r>
      <w:r>
        <w:rPr>
          <w:rFonts w:ascii="Arial" w:hAnsi="宋体" w:cs="Arial"/>
          <w:b/>
          <w:bCs/>
          <w:szCs w:val="21"/>
        </w:rPr>
        <w:t>格式见附件</w:t>
      </w:r>
      <w:r>
        <w:rPr>
          <w:rFonts w:ascii="Arial" w:hAnsi="宋体" w:cs="Arial"/>
          <w:bCs/>
          <w:szCs w:val="21"/>
        </w:rPr>
        <w:t>）</w:t>
      </w:r>
      <w:r>
        <w:rPr>
          <w:rFonts w:ascii="Arial" w:hAnsi="宋体" w:cs="Arial"/>
          <w:kern w:val="0"/>
          <w:szCs w:val="21"/>
        </w:rPr>
        <w:t>；</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）投标人资格资信证明文件：</w:t>
      </w:r>
    </w:p>
    <w:p>
      <w:pPr>
        <w:pStyle w:val="137"/>
        <w:numPr>
          <w:ilvl w:val="1"/>
          <w:numId w:val="3"/>
        </w:numPr>
        <w:tabs>
          <w:tab w:val="left" w:pos="840"/>
          <w:tab w:val="clear" w:pos="990"/>
        </w:tabs>
        <w:spacing w:line="360" w:lineRule="auto"/>
        <w:ind w:left="0" w:firstLine="367" w:firstLineChars="175"/>
        <w:rPr>
          <w:rFonts w:ascii="Arial" w:hAnsi="Arial" w:cs="Arial"/>
          <w:bCs/>
          <w:szCs w:val="21"/>
        </w:rPr>
      </w:pPr>
      <w:r>
        <w:rPr>
          <w:rFonts w:ascii="Arial" w:hAnsi="宋体" w:cs="Arial"/>
          <w:bCs/>
          <w:szCs w:val="21"/>
        </w:rPr>
        <w:t>第一章</w:t>
      </w:r>
      <w:r>
        <w:rPr>
          <w:rFonts w:hint="eastAsia" w:ascii="Arial" w:hAnsi="宋体" w:cs="Arial"/>
          <w:bCs/>
          <w:szCs w:val="21"/>
        </w:rPr>
        <w:t>招标</w:t>
      </w:r>
      <w:r>
        <w:rPr>
          <w:rFonts w:ascii="Arial" w:hAnsi="宋体" w:cs="Arial"/>
          <w:bCs/>
          <w:szCs w:val="21"/>
        </w:rPr>
        <w:t>公告中</w:t>
      </w:r>
      <w:r>
        <w:rPr>
          <w:rFonts w:ascii="Arial" w:hAnsi="Arial" w:cs="Arial"/>
          <w:bCs/>
          <w:szCs w:val="21"/>
        </w:rPr>
        <w:t xml:space="preserve"> </w:t>
      </w:r>
      <w:r>
        <w:rPr>
          <w:rFonts w:hint="eastAsia" w:ascii="Arial" w:hAnsi="Arial" w:cs="Arial"/>
          <w:bCs/>
          <w:szCs w:val="21"/>
        </w:rPr>
        <w:t>2</w:t>
      </w:r>
      <w:r>
        <w:rPr>
          <w:rFonts w:ascii="Arial" w:hAnsi="Arial" w:cs="Arial"/>
          <w:bCs/>
          <w:szCs w:val="21"/>
        </w:rPr>
        <w:t>.1</w:t>
      </w:r>
      <w:r>
        <w:rPr>
          <w:rFonts w:ascii="Arial" w:hAnsi="宋体" w:cs="Arial"/>
          <w:bCs/>
          <w:szCs w:val="21"/>
        </w:rPr>
        <w:t>《中华人民共和国政府采购法》规定的资格条件证明文件；</w:t>
      </w:r>
    </w:p>
    <w:p>
      <w:pPr>
        <w:pStyle w:val="137"/>
        <w:numPr>
          <w:ilvl w:val="1"/>
          <w:numId w:val="3"/>
        </w:numPr>
        <w:tabs>
          <w:tab w:val="left" w:pos="840"/>
          <w:tab w:val="clear" w:pos="990"/>
        </w:tabs>
        <w:spacing w:line="360" w:lineRule="auto"/>
        <w:ind w:left="0" w:firstLine="367" w:firstLineChars="175"/>
        <w:rPr>
          <w:rFonts w:ascii="Arial" w:hAnsi="Arial" w:cs="Arial"/>
          <w:bCs/>
          <w:szCs w:val="21"/>
        </w:rPr>
      </w:pPr>
      <w:r>
        <w:rPr>
          <w:rFonts w:ascii="Arial" w:hAnsi="宋体" w:cs="Arial"/>
          <w:bCs/>
          <w:szCs w:val="21"/>
        </w:rPr>
        <w:t>第一章</w:t>
      </w:r>
      <w:r>
        <w:rPr>
          <w:rFonts w:hint="eastAsia" w:ascii="Arial" w:hAnsi="宋体" w:cs="Arial"/>
          <w:bCs/>
          <w:szCs w:val="21"/>
        </w:rPr>
        <w:t>招标</w:t>
      </w:r>
      <w:r>
        <w:rPr>
          <w:rFonts w:ascii="Arial" w:hAnsi="宋体" w:cs="Arial"/>
          <w:bCs/>
          <w:szCs w:val="21"/>
        </w:rPr>
        <w:t>公告中</w:t>
      </w:r>
      <w:r>
        <w:rPr>
          <w:rFonts w:ascii="Arial" w:hAnsi="Arial" w:cs="Arial"/>
          <w:bCs/>
          <w:szCs w:val="21"/>
        </w:rPr>
        <w:t xml:space="preserve"> </w:t>
      </w:r>
      <w:r>
        <w:rPr>
          <w:rFonts w:hint="eastAsia" w:ascii="Arial" w:hAnsi="Arial" w:cs="Arial"/>
          <w:bCs/>
          <w:szCs w:val="21"/>
        </w:rPr>
        <w:t>2</w:t>
      </w:r>
      <w:r>
        <w:rPr>
          <w:rFonts w:ascii="Arial" w:hAnsi="Arial" w:cs="Arial"/>
          <w:bCs/>
          <w:szCs w:val="21"/>
        </w:rPr>
        <w:t>.</w:t>
      </w:r>
      <w:r>
        <w:rPr>
          <w:rFonts w:hint="eastAsia" w:ascii="Arial" w:hAnsi="Arial" w:cs="Arial"/>
          <w:bCs/>
          <w:szCs w:val="21"/>
        </w:rPr>
        <w:t>2</w:t>
      </w:r>
      <w:r>
        <w:rPr>
          <w:rFonts w:ascii="Arial" w:hAnsi="Arial" w:cs="Arial"/>
          <w:spacing w:val="8"/>
          <w:kern w:val="0"/>
          <w:szCs w:val="21"/>
        </w:rPr>
        <w:t>落实政府采购政策需满足的资格要求</w:t>
      </w:r>
      <w:r>
        <w:rPr>
          <w:rFonts w:hint="eastAsia" w:ascii="Arial" w:hAnsi="Arial" w:cs="Arial"/>
          <w:spacing w:val="8"/>
          <w:kern w:val="0"/>
          <w:szCs w:val="21"/>
        </w:rPr>
        <w:t>；</w:t>
      </w:r>
    </w:p>
    <w:p>
      <w:pPr>
        <w:pStyle w:val="137"/>
        <w:numPr>
          <w:ilvl w:val="1"/>
          <w:numId w:val="3"/>
        </w:numPr>
        <w:tabs>
          <w:tab w:val="left" w:pos="840"/>
          <w:tab w:val="clear" w:pos="990"/>
        </w:tabs>
        <w:spacing w:line="360" w:lineRule="auto"/>
        <w:ind w:left="0" w:firstLine="367" w:firstLineChars="175"/>
        <w:rPr>
          <w:rFonts w:ascii="Arial" w:hAnsi="Arial" w:cs="Arial"/>
          <w:bCs/>
          <w:szCs w:val="21"/>
        </w:rPr>
      </w:pPr>
      <w:r>
        <w:rPr>
          <w:rFonts w:ascii="Arial" w:hAnsi="宋体" w:cs="Arial"/>
          <w:bCs/>
          <w:szCs w:val="21"/>
        </w:rPr>
        <w:t>第一章</w:t>
      </w:r>
      <w:r>
        <w:rPr>
          <w:rFonts w:hint="eastAsia" w:ascii="Arial" w:hAnsi="宋体" w:cs="Arial"/>
          <w:bCs/>
          <w:szCs w:val="21"/>
        </w:rPr>
        <w:t>招标</w:t>
      </w:r>
      <w:r>
        <w:rPr>
          <w:rFonts w:ascii="Arial" w:hAnsi="宋体" w:cs="Arial"/>
          <w:bCs/>
          <w:szCs w:val="21"/>
        </w:rPr>
        <w:t>公告中</w:t>
      </w:r>
      <w:r>
        <w:rPr>
          <w:rFonts w:ascii="Arial" w:hAnsi="Arial" w:cs="Arial"/>
          <w:bCs/>
          <w:szCs w:val="21"/>
        </w:rPr>
        <w:t xml:space="preserve"> </w:t>
      </w:r>
      <w:r>
        <w:rPr>
          <w:rFonts w:hint="eastAsia" w:ascii="Arial" w:hAnsi="Arial" w:cs="Arial"/>
          <w:bCs/>
          <w:szCs w:val="21"/>
        </w:rPr>
        <w:t>2</w:t>
      </w:r>
      <w:r>
        <w:rPr>
          <w:rFonts w:ascii="Arial" w:hAnsi="Arial" w:cs="Arial"/>
          <w:bCs/>
          <w:szCs w:val="21"/>
        </w:rPr>
        <w:t>.</w:t>
      </w:r>
      <w:r>
        <w:rPr>
          <w:rFonts w:hint="eastAsia" w:ascii="Arial" w:hAnsi="Arial" w:cs="Arial"/>
          <w:bCs/>
          <w:szCs w:val="21"/>
        </w:rPr>
        <w:t>3</w:t>
      </w:r>
      <w:r>
        <w:rPr>
          <w:rFonts w:ascii="Arial" w:hAnsi="Arial" w:cs="Arial"/>
          <w:bCs/>
          <w:szCs w:val="21"/>
        </w:rPr>
        <w:t xml:space="preserve"> </w:t>
      </w:r>
      <w:r>
        <w:rPr>
          <w:rFonts w:ascii="Arial" w:hAnsi="宋体" w:cs="Arial"/>
          <w:bCs/>
          <w:szCs w:val="21"/>
        </w:rPr>
        <w:t>采购人根据采购项目的特殊要求规定的特定条件证明文件</w:t>
      </w:r>
      <w:r>
        <w:rPr>
          <w:rFonts w:hint="eastAsia" w:ascii="Arial" w:hAnsi="宋体" w:cs="Arial"/>
          <w:bCs/>
          <w:szCs w:val="21"/>
        </w:rPr>
        <w:t>。</w:t>
      </w:r>
    </w:p>
    <w:p>
      <w:pPr>
        <w:widowControl/>
        <w:shd w:val="clear" w:color="auto" w:fill="FFFFFF"/>
        <w:spacing w:line="360" w:lineRule="auto"/>
        <w:ind w:firstLine="420" w:firstLineChars="200"/>
        <w:jc w:val="left"/>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）开标一览表</w:t>
      </w:r>
      <w:r>
        <w:rPr>
          <w:rFonts w:ascii="Arial" w:hAnsi="宋体" w:cs="Arial"/>
          <w:bCs/>
          <w:szCs w:val="21"/>
        </w:rPr>
        <w:t>（</w:t>
      </w:r>
      <w:r>
        <w:rPr>
          <w:rFonts w:ascii="Arial" w:hAnsi="宋体" w:cs="Arial"/>
          <w:b/>
          <w:bCs/>
          <w:szCs w:val="21"/>
        </w:rPr>
        <w:t>格式见附件</w:t>
      </w:r>
      <w:r>
        <w:rPr>
          <w:rFonts w:ascii="Arial" w:hAnsi="宋体" w:cs="Arial"/>
          <w:bCs/>
          <w:szCs w:val="21"/>
        </w:rPr>
        <w:t>）；</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）投标人缴纳投标保证金凭证（如需要）；</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）《商务条款偏离表》；</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）分项报价表</w:t>
      </w:r>
      <w:r>
        <w:rPr>
          <w:rFonts w:ascii="Arial" w:hAnsi="宋体" w:cs="Arial"/>
          <w:bCs/>
          <w:szCs w:val="21"/>
        </w:rPr>
        <w:t>（</w:t>
      </w:r>
      <w:r>
        <w:rPr>
          <w:rFonts w:ascii="Arial" w:hAnsi="宋体" w:cs="Arial"/>
          <w:b/>
          <w:bCs/>
          <w:szCs w:val="21"/>
        </w:rPr>
        <w:t>格式见附件</w:t>
      </w:r>
      <w:r>
        <w:rPr>
          <w:rFonts w:ascii="Arial" w:hAnsi="宋体" w:cs="Arial"/>
          <w:bCs/>
          <w:szCs w:val="21"/>
        </w:rPr>
        <w:t>）</w:t>
      </w:r>
      <w:r>
        <w:rPr>
          <w:rFonts w:ascii="Arial" w:hAnsi="宋体" w:cs="Arial"/>
          <w:kern w:val="0"/>
          <w:szCs w:val="21"/>
        </w:rPr>
        <w:t>；</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）第三章评标标准中对应的其它所需证明材料（如有自行添加）；</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）要求采购人提供的配合（如有自拟并自行添加）；</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）其它（投标人认为有必要提供的声明和文件，如有，自行拟定并添加）。</w:t>
      </w:r>
    </w:p>
    <w:p>
      <w:pPr>
        <w:widowControl/>
        <w:shd w:val="clear" w:color="auto" w:fill="FFFFFF"/>
        <w:spacing w:line="360" w:lineRule="auto"/>
        <w:ind w:firstLine="420"/>
        <w:jc w:val="left"/>
        <w:rPr>
          <w:rFonts w:ascii="Arial" w:hAnsi="Arial" w:cs="Arial"/>
          <w:kern w:val="0"/>
          <w:szCs w:val="21"/>
        </w:rPr>
      </w:pPr>
      <w:r>
        <w:rPr>
          <w:rFonts w:ascii="Arial" w:hAnsi="Arial" w:cs="Arial"/>
          <w:b/>
          <w:bCs/>
          <w:kern w:val="0"/>
          <w:szCs w:val="21"/>
        </w:rPr>
        <w:t>10</w:t>
      </w:r>
      <w:r>
        <w:rPr>
          <w:rFonts w:ascii="Arial" w:hAnsi="宋体" w:cs="Arial"/>
          <w:b/>
          <w:bCs/>
          <w:kern w:val="0"/>
          <w:szCs w:val="21"/>
        </w:rPr>
        <w:t>、投标文件的技术部分</w:t>
      </w:r>
    </w:p>
    <w:p>
      <w:pPr>
        <w:widowControl/>
        <w:adjustRightInd w:val="0"/>
        <w:spacing w:line="360" w:lineRule="auto"/>
        <w:ind w:firstLine="420"/>
        <w:jc w:val="left"/>
        <w:rPr>
          <w:rFonts w:ascii="Arial" w:hAnsi="Arial" w:cs="Arial"/>
          <w:szCs w:val="21"/>
          <w:lang w:val="zh-CN"/>
        </w:rPr>
      </w:pPr>
      <w:r>
        <w:rPr>
          <w:rFonts w:ascii="Arial" w:hAnsi="宋体" w:cs="Arial"/>
          <w:szCs w:val="21"/>
          <w:lang w:val="zh-CN"/>
        </w:rPr>
        <w:t>技术部分是证明</w:t>
      </w:r>
      <w:r>
        <w:rPr>
          <w:rFonts w:ascii="Arial" w:hAnsi="宋体" w:cs="Arial"/>
          <w:szCs w:val="21"/>
        </w:rPr>
        <w:t>投标人提供的货物和服务是合格的、并符合招标文件要求的证明文件，以及</w:t>
      </w:r>
      <w:r>
        <w:rPr>
          <w:rFonts w:ascii="Arial" w:hAnsi="宋体" w:cs="Arial"/>
          <w:szCs w:val="21"/>
          <w:lang w:val="zh-CN"/>
        </w:rPr>
        <w:t>对货物和服务的详细说明，这些文件可以是文字资料、图纸和数据等。提供的货物和服务如与招标文件要求有不符之处，应说明其差别之所在。包括但不限于下</w:t>
      </w:r>
      <w:r>
        <w:rPr>
          <w:rFonts w:ascii="Arial" w:hAnsi="Arial" w:cs="Arial"/>
          <w:szCs w:val="21"/>
          <w:lang w:val="zh-CN"/>
        </w:rPr>
        <w:t>列文件：</w:t>
      </w:r>
    </w:p>
    <w:p>
      <w:pPr>
        <w:widowControl/>
        <w:adjustRightInd w:val="0"/>
        <w:spacing w:line="360" w:lineRule="auto"/>
        <w:ind w:firstLine="420"/>
        <w:jc w:val="left"/>
        <w:rPr>
          <w:rFonts w:ascii="Arial" w:hAnsi="Arial" w:cs="Arial"/>
          <w:kern w:val="0"/>
          <w:szCs w:val="21"/>
          <w:lang w:val="zh-CN"/>
        </w:rPr>
      </w:pPr>
      <w:r>
        <w:rPr>
          <w:rFonts w:ascii="Arial" w:hAnsi="宋体" w:cs="Arial"/>
          <w:kern w:val="0"/>
          <w:szCs w:val="21"/>
          <w:lang w:val="zh-CN"/>
        </w:rPr>
        <w:t>（</w:t>
      </w:r>
      <w:r>
        <w:rPr>
          <w:rFonts w:ascii="Arial" w:hAnsi="Arial" w:cs="Arial"/>
          <w:kern w:val="0"/>
          <w:szCs w:val="21"/>
          <w:lang w:val="zh-CN"/>
        </w:rPr>
        <w:t>1</w:t>
      </w:r>
      <w:r>
        <w:rPr>
          <w:rFonts w:ascii="Arial" w:hAnsi="宋体" w:cs="Arial"/>
          <w:kern w:val="0"/>
          <w:szCs w:val="21"/>
          <w:lang w:val="zh-CN"/>
        </w:rPr>
        <w:t>）技术说明或服务方案；</w:t>
      </w:r>
    </w:p>
    <w:p>
      <w:pPr>
        <w:widowControl/>
        <w:adjustRightInd w:val="0"/>
        <w:spacing w:line="360" w:lineRule="auto"/>
        <w:ind w:firstLine="420"/>
        <w:jc w:val="left"/>
        <w:rPr>
          <w:rFonts w:ascii="Arial" w:hAnsi="Arial" w:cs="Arial"/>
          <w:kern w:val="0"/>
          <w:szCs w:val="21"/>
          <w:lang w:val="zh-CN"/>
        </w:rPr>
      </w:pPr>
      <w:r>
        <w:rPr>
          <w:rFonts w:ascii="Arial" w:hAnsi="宋体" w:cs="Arial"/>
          <w:kern w:val="0"/>
          <w:szCs w:val="21"/>
          <w:lang w:val="zh-CN"/>
        </w:rPr>
        <w:t>（</w:t>
      </w:r>
      <w:r>
        <w:rPr>
          <w:rFonts w:ascii="Arial" w:hAnsi="Arial" w:cs="Arial"/>
          <w:kern w:val="0"/>
          <w:szCs w:val="21"/>
          <w:lang w:val="zh-CN"/>
        </w:rPr>
        <w:t>2</w:t>
      </w:r>
      <w:r>
        <w:rPr>
          <w:rFonts w:ascii="Arial" w:hAnsi="宋体" w:cs="Arial"/>
          <w:kern w:val="0"/>
          <w:szCs w:val="21"/>
          <w:lang w:val="zh-CN"/>
        </w:rPr>
        <w:t>）《技术条款偏离表》；</w:t>
      </w:r>
    </w:p>
    <w:p>
      <w:pPr>
        <w:widowControl/>
        <w:adjustRightInd w:val="0"/>
        <w:spacing w:line="360" w:lineRule="auto"/>
        <w:ind w:firstLine="420"/>
        <w:jc w:val="left"/>
        <w:rPr>
          <w:rFonts w:ascii="Arial" w:hAnsi="Arial" w:cs="Arial"/>
          <w:kern w:val="0"/>
          <w:szCs w:val="21"/>
          <w:lang w:val="zh-CN"/>
        </w:rPr>
      </w:pPr>
      <w:r>
        <w:rPr>
          <w:rFonts w:ascii="Arial" w:hAnsi="宋体" w:cs="Arial"/>
          <w:kern w:val="0"/>
          <w:szCs w:val="21"/>
          <w:lang w:val="zh-CN"/>
        </w:rPr>
        <w:t>（</w:t>
      </w:r>
      <w:r>
        <w:rPr>
          <w:rFonts w:ascii="Arial" w:hAnsi="Arial" w:cs="Arial"/>
          <w:kern w:val="0"/>
          <w:szCs w:val="21"/>
          <w:lang w:val="zh-CN"/>
        </w:rPr>
        <w:t>3</w:t>
      </w:r>
      <w:r>
        <w:rPr>
          <w:rFonts w:ascii="Arial" w:hAnsi="宋体" w:cs="Arial"/>
          <w:kern w:val="0"/>
          <w:szCs w:val="21"/>
          <w:lang w:val="zh-CN"/>
        </w:rPr>
        <w:t>）服务承诺；</w:t>
      </w:r>
    </w:p>
    <w:p>
      <w:pPr>
        <w:widowControl/>
        <w:adjustRightInd w:val="0"/>
        <w:spacing w:line="360" w:lineRule="auto"/>
        <w:ind w:firstLine="420"/>
        <w:jc w:val="left"/>
        <w:rPr>
          <w:rFonts w:ascii="Arial" w:hAnsi="Arial" w:cs="Arial"/>
          <w:kern w:val="0"/>
          <w:szCs w:val="21"/>
          <w:lang w:val="zh-CN"/>
        </w:rPr>
      </w:pPr>
      <w:r>
        <w:rPr>
          <w:rFonts w:ascii="Arial" w:hAnsi="宋体" w:cs="Arial"/>
          <w:kern w:val="0"/>
          <w:szCs w:val="21"/>
          <w:lang w:val="zh-CN"/>
        </w:rPr>
        <w:t>（</w:t>
      </w:r>
      <w:r>
        <w:rPr>
          <w:rFonts w:ascii="Arial" w:hAnsi="Arial" w:cs="Arial"/>
          <w:kern w:val="0"/>
          <w:szCs w:val="21"/>
          <w:lang w:val="zh-CN"/>
        </w:rPr>
        <w:t>4</w:t>
      </w:r>
      <w:r>
        <w:rPr>
          <w:rFonts w:ascii="Arial" w:hAnsi="宋体" w:cs="Arial"/>
          <w:kern w:val="0"/>
          <w:szCs w:val="21"/>
          <w:lang w:val="zh-CN"/>
        </w:rPr>
        <w:t>）投标人拟投入本项目的设备、人员情况一览表；</w:t>
      </w:r>
    </w:p>
    <w:p>
      <w:pPr>
        <w:widowControl/>
        <w:adjustRightInd w:val="0"/>
        <w:spacing w:line="360" w:lineRule="auto"/>
        <w:ind w:firstLine="420"/>
        <w:jc w:val="left"/>
        <w:rPr>
          <w:rFonts w:ascii="Arial" w:hAnsi="Arial" w:cs="Arial"/>
          <w:kern w:val="0"/>
          <w:szCs w:val="21"/>
          <w:lang w:val="zh-CN"/>
        </w:rPr>
      </w:pPr>
      <w:r>
        <w:rPr>
          <w:rFonts w:ascii="Arial" w:hAnsi="宋体" w:cs="Arial"/>
          <w:kern w:val="0"/>
          <w:szCs w:val="21"/>
          <w:lang w:val="zh-CN"/>
        </w:rPr>
        <w:t>（</w:t>
      </w:r>
      <w:r>
        <w:rPr>
          <w:rFonts w:ascii="Arial" w:hAnsi="Arial" w:cs="Arial"/>
          <w:kern w:val="0"/>
          <w:szCs w:val="21"/>
          <w:lang w:val="zh-CN"/>
        </w:rPr>
        <w:t>5</w:t>
      </w:r>
      <w:r>
        <w:rPr>
          <w:rFonts w:ascii="Arial" w:hAnsi="宋体" w:cs="Arial"/>
          <w:kern w:val="0"/>
          <w:szCs w:val="21"/>
          <w:lang w:val="zh-CN"/>
        </w:rPr>
        <w:t>）投标人认为需要提供的其他技术资料。</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11</w:t>
      </w:r>
      <w:r>
        <w:rPr>
          <w:rFonts w:ascii="Arial" w:hAnsi="宋体" w:cs="Arial"/>
          <w:b/>
          <w:bCs/>
          <w:kern w:val="0"/>
          <w:szCs w:val="21"/>
        </w:rPr>
        <w:t>、投标文件的价格部分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11.1</w:t>
      </w:r>
      <w:r>
        <w:rPr>
          <w:rFonts w:ascii="Arial" w:hAnsi="宋体" w:cs="Arial"/>
          <w:kern w:val="0"/>
          <w:szCs w:val="21"/>
        </w:rPr>
        <w:t>价格部分是对采购标的价格构成的说明，招标文件如无特别说明，每一项货物及服务仅接受一个价格。</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11.2</w:t>
      </w:r>
      <w:r>
        <w:rPr>
          <w:rFonts w:ascii="Arial" w:hAnsi="宋体" w:cs="Arial"/>
          <w:kern w:val="0"/>
          <w:szCs w:val="21"/>
        </w:rPr>
        <w:t>报价应包含本次招标标的有关的所有费用</w:t>
      </w:r>
      <w:r>
        <w:rPr>
          <w:rFonts w:ascii="Arial" w:hAnsi="宋体" w:cs="Arial"/>
          <w:kern w:val="0"/>
          <w:szCs w:val="21"/>
          <w:lang w:val="zh-CN"/>
        </w:rPr>
        <w:t>，以及技术资料、支付给员工的工资和国家强制缴纳的各种社会保障资金</w:t>
      </w:r>
      <w:r>
        <w:rPr>
          <w:rFonts w:ascii="Arial" w:hAnsi="宋体" w:cs="Arial"/>
          <w:bCs/>
          <w:szCs w:val="21"/>
        </w:rPr>
        <w:t>，以</w:t>
      </w:r>
      <w:r>
        <w:rPr>
          <w:rFonts w:ascii="Arial" w:hAnsi="宋体" w:cs="Arial"/>
          <w:szCs w:val="21"/>
        </w:rPr>
        <w:t>及投标人认为需要的其他费用等</w:t>
      </w:r>
      <w:r>
        <w:rPr>
          <w:rFonts w:ascii="Arial" w:hAnsi="宋体" w:cs="Arial"/>
          <w:b/>
          <w:szCs w:val="21"/>
        </w:rPr>
        <w:t>。</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11.3</w:t>
      </w:r>
      <w:r>
        <w:rPr>
          <w:rFonts w:ascii="Arial" w:hAnsi="宋体" w:cs="Arial"/>
          <w:kern w:val="0"/>
          <w:szCs w:val="21"/>
        </w:rPr>
        <w:t>投标人的任何错漏、优惠、竞争性报价不得作为减轻责任、减少服务、增加收费、降低质量的理由。</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11.4</w:t>
      </w:r>
      <w:r>
        <w:rPr>
          <w:rFonts w:ascii="Arial" w:hAnsi="宋体" w:cs="Arial"/>
          <w:kern w:val="0"/>
          <w:szCs w:val="21"/>
        </w:rPr>
        <w:t>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ascii="Arial" w:hAnsi="宋体" w:cs="Arial"/>
          <w:b/>
          <w:bCs/>
          <w:kern w:val="0"/>
          <w:szCs w:val="21"/>
        </w:rPr>
        <w:t>无效投标处理</w:t>
      </w:r>
      <w:r>
        <w:rPr>
          <w:rFonts w:ascii="Arial" w:hAnsi="宋体" w:cs="Arial"/>
          <w:kern w:val="0"/>
          <w:szCs w:val="21"/>
        </w:rPr>
        <w:t>。</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11.5 </w:t>
      </w:r>
      <w:r>
        <w:rPr>
          <w:rFonts w:ascii="Arial" w:hAnsi="宋体" w:cs="Arial"/>
          <w:kern w:val="0"/>
          <w:szCs w:val="21"/>
        </w:rPr>
        <w:t>投标人应在《开标一览表》、《分项报价》等标明投标货物和服务的单价、总价以及分项报价。</w:t>
      </w:r>
      <w:r>
        <w:rPr>
          <w:rFonts w:ascii="Arial" w:hAnsi="宋体" w:cs="Arial"/>
          <w:b/>
          <w:kern w:val="0"/>
          <w:szCs w:val="21"/>
        </w:rPr>
        <w:t>投标人系</w:t>
      </w:r>
      <w:r>
        <w:rPr>
          <w:rFonts w:ascii="Arial" w:hAnsi="宋体" w:cs="Arial"/>
          <w:b/>
          <w:bCs/>
          <w:kern w:val="0"/>
          <w:szCs w:val="21"/>
        </w:rPr>
        <w:t>小型、微型企业，并提供本企业制造的货物、承担的工程或者服务，</w:t>
      </w:r>
      <w:r>
        <w:rPr>
          <w:rFonts w:ascii="Arial" w:hAnsi="宋体" w:cs="Arial"/>
          <w:b/>
          <w:kern w:val="0"/>
          <w:szCs w:val="21"/>
        </w:rPr>
        <w:t>或者提供其他小型、微型企业制造的货物，须在《开标一览表》、《分项报价》中注明。</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11.6 </w:t>
      </w:r>
      <w:r>
        <w:rPr>
          <w:rFonts w:ascii="Arial" w:hAnsi="宋体" w:cs="Arial"/>
          <w:kern w:val="0"/>
          <w:szCs w:val="21"/>
        </w:rPr>
        <w:t>《开标一览表》一式两份，一份装订在投标文件中，一份单独封装，并标明</w:t>
      </w:r>
      <w:r>
        <w:rPr>
          <w:rFonts w:ascii="Arial" w:hAnsi="Arial" w:cs="Arial"/>
          <w:kern w:val="0"/>
          <w:szCs w:val="21"/>
        </w:rPr>
        <w:t>“</w:t>
      </w:r>
      <w:r>
        <w:rPr>
          <w:rFonts w:ascii="Arial" w:hAnsi="宋体" w:cs="Arial"/>
          <w:kern w:val="0"/>
          <w:szCs w:val="21"/>
        </w:rPr>
        <w:t>开标一览表</w:t>
      </w:r>
      <w:r>
        <w:rPr>
          <w:rFonts w:ascii="Arial" w:hAnsi="Arial" w:cs="Arial"/>
          <w:kern w:val="0"/>
          <w:szCs w:val="21"/>
        </w:rPr>
        <w:t>”</w:t>
      </w:r>
      <w:r>
        <w:rPr>
          <w:rFonts w:ascii="Arial" w:hAnsi="宋体" w:cs="Arial"/>
          <w:kern w:val="0"/>
          <w:szCs w:val="21"/>
        </w:rPr>
        <w:t>字样，随投标文件一并递交，以便唱标时使用。</w:t>
      </w:r>
    </w:p>
    <w:p>
      <w:pPr>
        <w:widowControl/>
        <w:spacing w:line="360" w:lineRule="auto"/>
        <w:ind w:firstLine="420"/>
        <w:rPr>
          <w:rFonts w:ascii="Arial" w:hAnsi="Arial" w:cs="Arial"/>
          <w:kern w:val="0"/>
          <w:szCs w:val="21"/>
        </w:rPr>
      </w:pPr>
      <w:r>
        <w:rPr>
          <w:rFonts w:ascii="Arial" w:hAnsi="Arial" w:cs="Arial"/>
          <w:b/>
          <w:bCs/>
          <w:kern w:val="0"/>
          <w:szCs w:val="21"/>
        </w:rPr>
        <w:t>11.7</w:t>
      </w:r>
      <w:r>
        <w:rPr>
          <w:rFonts w:ascii="Arial" w:hAnsi="宋体" w:cs="Arial"/>
          <w:b/>
          <w:bCs/>
          <w:kern w:val="0"/>
          <w:szCs w:val="21"/>
        </w:rPr>
        <w:t>本项目预算为：详见第一章</w:t>
      </w:r>
      <w:r>
        <w:rPr>
          <w:rFonts w:ascii="Arial" w:hAnsi="宋体" w:cs="Arial"/>
          <w:bCs/>
          <w:kern w:val="0"/>
          <w:szCs w:val="21"/>
        </w:rPr>
        <w:t>。</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12</w:t>
      </w:r>
      <w:r>
        <w:rPr>
          <w:rFonts w:ascii="Arial" w:hAnsi="宋体" w:cs="Arial"/>
          <w:b/>
          <w:bCs/>
          <w:kern w:val="0"/>
          <w:szCs w:val="21"/>
        </w:rPr>
        <w:t>、投标文件的其他部分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12.1 </w:t>
      </w:r>
      <w:r>
        <w:rPr>
          <w:rFonts w:ascii="Arial" w:hAnsi="宋体" w:cs="Arial"/>
          <w:kern w:val="0"/>
          <w:szCs w:val="21"/>
        </w:rPr>
        <w:t>其他部分由投标人根据编制投标文件需要提供的其他相关文件组成。</w:t>
      </w:r>
    </w:p>
    <w:p>
      <w:pPr>
        <w:widowControl/>
        <w:shd w:val="clear" w:color="auto" w:fill="FFFFFF"/>
        <w:spacing w:line="360" w:lineRule="auto"/>
        <w:ind w:firstLine="420"/>
        <w:rPr>
          <w:rFonts w:ascii="Arial" w:hAnsi="Arial" w:cs="Arial"/>
          <w:b/>
          <w:bCs/>
          <w:kern w:val="0"/>
          <w:szCs w:val="21"/>
        </w:rPr>
      </w:pPr>
      <w:r>
        <w:rPr>
          <w:rFonts w:ascii="Arial" w:hAnsi="Arial" w:cs="Arial"/>
          <w:b/>
          <w:bCs/>
          <w:kern w:val="0"/>
          <w:szCs w:val="21"/>
        </w:rPr>
        <w:t>13</w:t>
      </w:r>
      <w:r>
        <w:rPr>
          <w:rFonts w:ascii="Arial" w:hAnsi="宋体" w:cs="Arial"/>
          <w:b/>
          <w:bCs/>
          <w:kern w:val="0"/>
          <w:szCs w:val="21"/>
        </w:rPr>
        <w:t>、投标保证金</w:t>
      </w:r>
      <w:r>
        <w:rPr>
          <w:rFonts w:hint="eastAsia" w:ascii="Arial" w:hAnsi="宋体" w:cs="Arial"/>
          <w:b/>
          <w:bCs/>
          <w:kern w:val="0"/>
          <w:szCs w:val="21"/>
        </w:rPr>
        <w:t>：不需要</w:t>
      </w:r>
    </w:p>
    <w:p>
      <w:pPr>
        <w:widowControl/>
        <w:shd w:val="clear" w:color="auto" w:fill="FFFFFF"/>
        <w:spacing w:line="360" w:lineRule="auto"/>
        <w:ind w:firstLine="420"/>
        <w:rPr>
          <w:rFonts w:ascii="Arial" w:hAnsi="Arial" w:cs="Arial"/>
          <w:b/>
          <w:bCs/>
          <w:kern w:val="0"/>
          <w:szCs w:val="21"/>
        </w:rPr>
      </w:pPr>
      <w:r>
        <w:rPr>
          <w:rFonts w:ascii="Arial" w:hAnsi="Arial" w:cs="Arial"/>
          <w:b/>
          <w:bCs/>
          <w:kern w:val="0"/>
          <w:szCs w:val="21"/>
        </w:rPr>
        <w:t>14</w:t>
      </w:r>
      <w:r>
        <w:rPr>
          <w:rFonts w:ascii="Arial" w:hAnsi="宋体" w:cs="Arial"/>
          <w:b/>
          <w:bCs/>
          <w:kern w:val="0"/>
          <w:szCs w:val="21"/>
        </w:rPr>
        <w:t>、投标有效期</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14.1 </w:t>
      </w:r>
      <w:r>
        <w:rPr>
          <w:rFonts w:ascii="Arial" w:hAnsi="宋体" w:cs="Arial"/>
          <w:kern w:val="0"/>
          <w:szCs w:val="21"/>
        </w:rPr>
        <w:t>自开标之日起</w:t>
      </w:r>
      <w:r>
        <w:rPr>
          <w:rFonts w:ascii="Arial" w:hAnsi="Arial" w:cs="Arial"/>
          <w:b/>
          <w:kern w:val="0"/>
          <w:szCs w:val="21"/>
        </w:rPr>
        <w:t>90</w:t>
      </w:r>
      <w:r>
        <w:rPr>
          <w:rFonts w:ascii="Arial" w:hAnsi="宋体" w:cs="Arial"/>
          <w:kern w:val="0"/>
          <w:szCs w:val="21"/>
        </w:rPr>
        <w:t>天内投标有效</w:t>
      </w:r>
      <w:r>
        <w:rPr>
          <w:rFonts w:ascii="Arial" w:hAnsi="宋体" w:cs="Arial"/>
          <w:b/>
        </w:rPr>
        <w:t>，投标有效期从提交投标文件的截止之日起算。投标文件中承诺的投标有效期应当不少于招标文件中载明的投标有效期。</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14.2 </w:t>
      </w:r>
      <w:r>
        <w:rPr>
          <w:rFonts w:ascii="Arial" w:hAnsi="宋体" w:cs="Arial"/>
          <w:kern w:val="0"/>
          <w:szCs w:val="21"/>
        </w:rPr>
        <w:t>特殊情况下，在原投标有效期截止之前，</w:t>
      </w:r>
      <w:r>
        <w:rPr>
          <w:rFonts w:hint="eastAsia" w:ascii="Arial" w:hAnsi="宋体" w:cs="Arial"/>
          <w:kern w:val="0"/>
          <w:szCs w:val="21"/>
        </w:rPr>
        <w:t>招标</w:t>
      </w:r>
      <w:r>
        <w:rPr>
          <w:rFonts w:ascii="Arial" w:hAnsi="宋体" w:cs="Arial"/>
          <w:kern w:val="0"/>
          <w:szCs w:val="21"/>
        </w:rPr>
        <w:t>代理机构可要求投标人同意延长投标有效期，这种要求与答复均应以书面形式提交。投标人可拒绝这种要求，并且不影响投标保证金的退还。接受延长投标有效期的投标人将不会要求和允许修正其投标，而只会被要求相应地延长其投标保证金的有效期。在这种情况下，有关投标保证金的退还规定在延长了的有效期内继续有效。</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15</w:t>
      </w:r>
      <w:r>
        <w:rPr>
          <w:rFonts w:ascii="Arial" w:hAnsi="宋体" w:cs="Arial"/>
          <w:b/>
          <w:bCs/>
          <w:kern w:val="0"/>
          <w:szCs w:val="21"/>
        </w:rPr>
        <w:t>、投标文件签署</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15.1 </w:t>
      </w:r>
      <w:r>
        <w:rPr>
          <w:rFonts w:ascii="Arial" w:hAnsi="宋体" w:cs="Arial"/>
          <w:kern w:val="0"/>
          <w:szCs w:val="21"/>
        </w:rPr>
        <w:t>投标文件的正本和副本均应由投标人</w:t>
      </w:r>
      <w:r>
        <w:rPr>
          <w:rFonts w:hint="eastAsia" w:ascii="Arial" w:hAnsi="宋体" w:cs="Arial"/>
          <w:kern w:val="0"/>
          <w:szCs w:val="21"/>
        </w:rPr>
        <w:t>法定</w:t>
      </w:r>
      <w:r>
        <w:rPr>
          <w:rFonts w:ascii="Arial" w:hAnsi="宋体" w:cs="Arial"/>
          <w:kern w:val="0"/>
          <w:szCs w:val="21"/>
        </w:rPr>
        <w:t>代表人或经正式授权并对投标人有约束力的委托代理人签字，如果它们之间内容有差异，则以正本为准。</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16</w:t>
      </w:r>
      <w:r>
        <w:rPr>
          <w:rFonts w:ascii="Arial" w:hAnsi="宋体" w:cs="Arial"/>
          <w:b/>
          <w:bCs/>
          <w:kern w:val="0"/>
          <w:szCs w:val="21"/>
        </w:rPr>
        <w:t>、投标费用</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16.1 </w:t>
      </w:r>
      <w:r>
        <w:rPr>
          <w:rFonts w:ascii="Arial" w:hAnsi="宋体" w:cs="Arial"/>
          <w:kern w:val="0"/>
          <w:szCs w:val="21"/>
        </w:rPr>
        <w:t>投标人应承担所有与准备和参加投标有关的费用，无论</w:t>
      </w:r>
      <w:r>
        <w:rPr>
          <w:rFonts w:hint="eastAsia" w:ascii="Arial" w:hAnsi="宋体" w:cs="Arial"/>
          <w:kern w:val="0"/>
          <w:szCs w:val="21"/>
        </w:rPr>
        <w:t>招标</w:t>
      </w:r>
      <w:r>
        <w:rPr>
          <w:rFonts w:ascii="Arial" w:hAnsi="宋体" w:cs="Arial"/>
          <w:kern w:val="0"/>
          <w:szCs w:val="21"/>
        </w:rPr>
        <w:t>结果如何，</w:t>
      </w:r>
      <w:r>
        <w:rPr>
          <w:rFonts w:hint="eastAsia" w:ascii="Arial" w:hAnsi="宋体" w:cs="Arial"/>
          <w:kern w:val="0"/>
          <w:szCs w:val="21"/>
        </w:rPr>
        <w:t>招标</w:t>
      </w:r>
      <w:r>
        <w:rPr>
          <w:rFonts w:ascii="Arial" w:hAnsi="宋体" w:cs="Arial"/>
          <w:kern w:val="0"/>
          <w:szCs w:val="21"/>
        </w:rPr>
        <w:t>代理机构和</w:t>
      </w:r>
      <w:r>
        <w:rPr>
          <w:rFonts w:hint="eastAsia" w:ascii="Arial" w:hAnsi="宋体" w:cs="Arial"/>
          <w:kern w:val="0"/>
          <w:szCs w:val="21"/>
        </w:rPr>
        <w:t>招标</w:t>
      </w:r>
      <w:r>
        <w:rPr>
          <w:rFonts w:ascii="Arial" w:hAnsi="宋体" w:cs="Arial"/>
          <w:kern w:val="0"/>
          <w:szCs w:val="21"/>
        </w:rPr>
        <w:t>人在任何情况下均无义务和责任承担这些费用。</w:t>
      </w:r>
    </w:p>
    <w:p>
      <w:pPr>
        <w:widowControl/>
        <w:shd w:val="clear" w:color="auto" w:fill="FFFFFF"/>
        <w:spacing w:line="360" w:lineRule="auto"/>
        <w:ind w:firstLine="420"/>
        <w:rPr>
          <w:rFonts w:ascii="Arial" w:hAnsi="Arial" w:cs="Arial"/>
          <w:b/>
          <w:kern w:val="0"/>
          <w:szCs w:val="21"/>
        </w:rPr>
      </w:pPr>
      <w:r>
        <w:rPr>
          <w:rFonts w:ascii="Arial" w:hAnsi="Arial" w:cs="Arial"/>
          <w:b/>
          <w:kern w:val="0"/>
          <w:szCs w:val="21"/>
        </w:rPr>
        <w:t xml:space="preserve">16.2 </w:t>
      </w:r>
      <w:r>
        <w:rPr>
          <w:rFonts w:ascii="Arial" w:hAnsi="宋体" w:cs="Arial"/>
          <w:b/>
          <w:kern w:val="0"/>
          <w:szCs w:val="21"/>
        </w:rPr>
        <w:t>招标代理服务费：本次招标，中标人参照《招标代理服务费管理暂行办法》（国家发展计划委员会计价格【</w:t>
      </w:r>
      <w:r>
        <w:rPr>
          <w:rFonts w:ascii="Arial" w:hAnsi="Arial" w:cs="Arial"/>
          <w:b/>
          <w:kern w:val="0"/>
          <w:szCs w:val="21"/>
        </w:rPr>
        <w:t>2002</w:t>
      </w:r>
      <w:r>
        <w:rPr>
          <w:rFonts w:ascii="Arial" w:hAnsi="宋体" w:cs="Arial"/>
          <w:b/>
          <w:kern w:val="0"/>
          <w:szCs w:val="21"/>
        </w:rPr>
        <w:t>】</w:t>
      </w:r>
      <w:r>
        <w:rPr>
          <w:rFonts w:ascii="Arial" w:hAnsi="Arial" w:cs="Arial"/>
          <w:b/>
          <w:kern w:val="0"/>
          <w:szCs w:val="21"/>
        </w:rPr>
        <w:t>1980</w:t>
      </w:r>
      <w:r>
        <w:rPr>
          <w:rFonts w:ascii="Arial" w:hAnsi="宋体" w:cs="Arial"/>
          <w:b/>
          <w:kern w:val="0"/>
          <w:szCs w:val="21"/>
        </w:rPr>
        <w:t>号）代理</w:t>
      </w:r>
      <w:r>
        <w:rPr>
          <w:rFonts w:ascii="Arial" w:hAnsi="宋体" w:cs="Arial"/>
          <w:b/>
          <w:kern w:val="0"/>
          <w:szCs w:val="21"/>
          <w:u w:val="single"/>
        </w:rPr>
        <w:t>货物</w:t>
      </w:r>
      <w:r>
        <w:rPr>
          <w:rFonts w:ascii="Arial" w:hAnsi="Arial" w:cs="Arial"/>
          <w:b/>
          <w:kern w:val="0"/>
          <w:szCs w:val="21"/>
          <w:u w:val="single"/>
        </w:rPr>
        <w:t>/</w:t>
      </w:r>
      <w:r>
        <w:rPr>
          <w:rFonts w:ascii="Arial" w:hAnsi="宋体" w:cs="Arial"/>
          <w:b/>
          <w:kern w:val="0"/>
          <w:szCs w:val="21"/>
          <w:u w:val="single"/>
        </w:rPr>
        <w:t>服务</w:t>
      </w:r>
      <w:r>
        <w:rPr>
          <w:rFonts w:ascii="Arial" w:hAnsi="宋体" w:cs="Arial"/>
          <w:b/>
          <w:kern w:val="0"/>
          <w:szCs w:val="21"/>
        </w:rPr>
        <w:t>招标收费基准费率</w:t>
      </w:r>
      <w:r>
        <w:rPr>
          <w:rFonts w:ascii="Arial" w:hAnsi="Arial" w:cs="Arial"/>
          <w:b/>
          <w:kern w:val="0"/>
          <w:szCs w:val="21"/>
          <w:u w:val="single"/>
        </w:rPr>
        <w:t xml:space="preserve"> 70</w:t>
      </w:r>
      <w:r>
        <w:rPr>
          <w:rFonts w:ascii="Arial" w:hAnsi="Arial" w:cs="Arial"/>
          <w:b/>
          <w:kern w:val="0"/>
          <w:szCs w:val="21"/>
        </w:rPr>
        <w:t>%</w:t>
      </w:r>
      <w:r>
        <w:rPr>
          <w:rFonts w:ascii="Arial" w:hAnsi="宋体" w:cs="Arial"/>
          <w:b/>
          <w:kern w:val="0"/>
          <w:szCs w:val="21"/>
        </w:rPr>
        <w:t>计算，在领取中标通知书前向招标代理机构支付招标服务费。本项费用无需在投标报价表中单列。</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16.3</w:t>
      </w:r>
      <w:r>
        <w:rPr>
          <w:rFonts w:ascii="Arial" w:hAnsi="宋体" w:cs="Arial"/>
          <w:kern w:val="0"/>
          <w:szCs w:val="21"/>
        </w:rPr>
        <w:t>开标公证费</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中标人在领取中标通知书前</w:t>
      </w:r>
      <w:r>
        <w:rPr>
          <w:rFonts w:ascii="Arial" w:hAnsi="Arial" w:cs="Arial"/>
          <w:kern w:val="0"/>
          <w:szCs w:val="21"/>
        </w:rPr>
        <w:t>,</w:t>
      </w:r>
      <w:r>
        <w:rPr>
          <w:rFonts w:ascii="Arial" w:hAnsi="宋体" w:cs="Arial"/>
          <w:kern w:val="0"/>
          <w:szCs w:val="21"/>
        </w:rPr>
        <w:t>向南京市南京公证处支付开标公证费</w:t>
      </w:r>
      <w:r>
        <w:rPr>
          <w:rFonts w:ascii="Arial" w:hAnsi="Arial" w:cs="Arial"/>
          <w:kern w:val="0"/>
          <w:szCs w:val="21"/>
        </w:rPr>
        <w:t>,</w:t>
      </w:r>
      <w:r>
        <w:rPr>
          <w:rFonts w:ascii="Arial" w:hAnsi="宋体" w:cs="Arial"/>
          <w:kern w:val="0"/>
          <w:szCs w:val="21"/>
        </w:rPr>
        <w:t>开标公证费按下列标准支付：</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中标金额</w:t>
      </w:r>
      <w:r>
        <w:rPr>
          <w:rFonts w:ascii="Arial" w:hAnsi="Arial" w:cs="Arial"/>
          <w:kern w:val="0"/>
          <w:szCs w:val="21"/>
        </w:rPr>
        <w:t>≤200</w:t>
      </w:r>
      <w:r>
        <w:rPr>
          <w:rFonts w:ascii="Arial" w:hAnsi="宋体" w:cs="Arial"/>
          <w:kern w:val="0"/>
          <w:szCs w:val="21"/>
        </w:rPr>
        <w:t>万元人民币，开标公证费</w:t>
      </w:r>
      <w:r>
        <w:rPr>
          <w:rFonts w:ascii="Arial" w:hAnsi="Arial" w:cs="Arial"/>
          <w:kern w:val="0"/>
          <w:szCs w:val="21"/>
        </w:rPr>
        <w:t>500</w:t>
      </w:r>
      <w:r>
        <w:rPr>
          <w:rFonts w:ascii="Arial" w:hAnsi="宋体" w:cs="Arial"/>
          <w:kern w:val="0"/>
          <w:szCs w:val="21"/>
        </w:rPr>
        <w:t>元人民币；</w:t>
      </w:r>
      <w:r>
        <w:rPr>
          <w:rFonts w:ascii="Arial" w:hAnsi="Arial" w:cs="Arial"/>
          <w:kern w:val="0"/>
          <w:szCs w:val="21"/>
        </w:rPr>
        <w:br w:type="textWrapping"/>
      </w:r>
      <w:r>
        <w:rPr>
          <w:rFonts w:ascii="Arial" w:hAnsi="Arial" w:cs="Arial"/>
          <w:kern w:val="0"/>
          <w:szCs w:val="21"/>
        </w:rPr>
        <w:t xml:space="preserve">    200</w:t>
      </w:r>
      <w:r>
        <w:rPr>
          <w:rFonts w:ascii="Arial" w:hAnsi="宋体" w:cs="Arial"/>
          <w:kern w:val="0"/>
          <w:szCs w:val="21"/>
        </w:rPr>
        <w:t>万元人民币＜中标金额</w:t>
      </w:r>
      <w:r>
        <w:rPr>
          <w:rFonts w:ascii="Arial" w:hAnsi="Arial" w:cs="Arial"/>
          <w:kern w:val="0"/>
          <w:szCs w:val="21"/>
        </w:rPr>
        <w:t>≤600</w:t>
      </w:r>
      <w:r>
        <w:rPr>
          <w:rFonts w:ascii="Arial" w:hAnsi="宋体" w:cs="Arial"/>
          <w:kern w:val="0"/>
          <w:szCs w:val="21"/>
        </w:rPr>
        <w:t>万元人民币，开标公证费</w:t>
      </w:r>
      <w:r>
        <w:rPr>
          <w:rFonts w:ascii="Arial" w:hAnsi="Arial" w:cs="Arial"/>
          <w:kern w:val="0"/>
          <w:szCs w:val="21"/>
        </w:rPr>
        <w:t>600</w:t>
      </w:r>
      <w:r>
        <w:rPr>
          <w:rFonts w:ascii="Arial" w:hAnsi="宋体" w:cs="Arial"/>
          <w:kern w:val="0"/>
          <w:szCs w:val="21"/>
        </w:rPr>
        <w:t>元人民币；</w:t>
      </w:r>
      <w:r>
        <w:rPr>
          <w:rFonts w:ascii="Arial" w:hAnsi="Arial" w:cs="Arial"/>
          <w:kern w:val="0"/>
          <w:szCs w:val="21"/>
        </w:rPr>
        <w:br w:type="textWrapping"/>
      </w:r>
      <w:r>
        <w:rPr>
          <w:rFonts w:ascii="Arial" w:hAnsi="Arial" w:cs="Arial"/>
          <w:kern w:val="0"/>
          <w:szCs w:val="21"/>
        </w:rPr>
        <w:t xml:space="preserve">    600</w:t>
      </w:r>
      <w:r>
        <w:rPr>
          <w:rFonts w:ascii="Arial" w:hAnsi="宋体" w:cs="Arial"/>
          <w:kern w:val="0"/>
          <w:szCs w:val="21"/>
        </w:rPr>
        <w:t>万元人民币＜中标金额</w:t>
      </w:r>
      <w:r>
        <w:rPr>
          <w:rFonts w:ascii="Arial" w:hAnsi="Arial" w:cs="Arial"/>
          <w:kern w:val="0"/>
          <w:szCs w:val="21"/>
        </w:rPr>
        <w:t>≤1000</w:t>
      </w:r>
      <w:r>
        <w:rPr>
          <w:rFonts w:ascii="Arial" w:hAnsi="宋体" w:cs="Arial"/>
          <w:kern w:val="0"/>
          <w:szCs w:val="21"/>
        </w:rPr>
        <w:t>万元人民币，开标公证费</w:t>
      </w:r>
      <w:r>
        <w:rPr>
          <w:rFonts w:ascii="Arial" w:hAnsi="Arial" w:cs="Arial"/>
          <w:kern w:val="0"/>
          <w:szCs w:val="21"/>
        </w:rPr>
        <w:t>800</w:t>
      </w:r>
      <w:r>
        <w:rPr>
          <w:rFonts w:ascii="Arial" w:hAnsi="宋体" w:cs="Arial"/>
          <w:kern w:val="0"/>
          <w:szCs w:val="21"/>
        </w:rPr>
        <w:t>元人民币；</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中标金额＞</w:t>
      </w:r>
      <w:r>
        <w:rPr>
          <w:rFonts w:ascii="Arial" w:hAnsi="Arial" w:cs="Arial"/>
          <w:kern w:val="0"/>
          <w:szCs w:val="21"/>
        </w:rPr>
        <w:t>1000</w:t>
      </w:r>
      <w:r>
        <w:rPr>
          <w:rFonts w:ascii="Arial" w:hAnsi="宋体" w:cs="Arial"/>
          <w:kern w:val="0"/>
          <w:szCs w:val="21"/>
        </w:rPr>
        <w:t>万元人民币，开标公证费按中标金额的万分之一收取，但最高不超过</w:t>
      </w:r>
      <w:r>
        <w:rPr>
          <w:rFonts w:ascii="Arial" w:hAnsi="Arial" w:cs="Arial"/>
          <w:kern w:val="0"/>
          <w:szCs w:val="21"/>
        </w:rPr>
        <w:t>3000</w:t>
      </w:r>
      <w:r>
        <w:rPr>
          <w:rFonts w:ascii="Arial" w:hAnsi="宋体" w:cs="Arial"/>
          <w:kern w:val="0"/>
          <w:szCs w:val="21"/>
        </w:rPr>
        <w:t>元人民币。</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开标公证费一次付清</w:t>
      </w:r>
      <w:r>
        <w:rPr>
          <w:rFonts w:ascii="Arial" w:hAnsi="Arial" w:cs="Arial"/>
          <w:kern w:val="0"/>
          <w:szCs w:val="21"/>
        </w:rPr>
        <w:t>,</w:t>
      </w:r>
      <w:r>
        <w:rPr>
          <w:rFonts w:ascii="Arial" w:hAnsi="宋体" w:cs="Arial"/>
          <w:kern w:val="0"/>
          <w:szCs w:val="21"/>
        </w:rPr>
        <w:t>由公证处出具收费发票。</w:t>
      </w:r>
    </w:p>
    <w:p>
      <w:pPr>
        <w:widowControl/>
        <w:shd w:val="clear" w:color="auto" w:fill="FFFFFF"/>
        <w:spacing w:line="360" w:lineRule="auto"/>
        <w:ind w:firstLine="420"/>
        <w:rPr>
          <w:rFonts w:ascii="Arial" w:hAnsi="Arial" w:cs="Arial"/>
          <w:kern w:val="0"/>
          <w:szCs w:val="21"/>
        </w:rPr>
      </w:pPr>
      <w:r>
        <w:rPr>
          <w:rFonts w:ascii="Arial" w:hAnsi="宋体" w:cs="Arial"/>
          <w:b/>
          <w:bCs/>
          <w:kern w:val="0"/>
          <w:szCs w:val="21"/>
        </w:rPr>
        <w:t>四、投标文件的递交</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17</w:t>
      </w:r>
      <w:r>
        <w:rPr>
          <w:rFonts w:ascii="Arial" w:hAnsi="宋体" w:cs="Arial"/>
          <w:b/>
          <w:bCs/>
          <w:kern w:val="0"/>
          <w:szCs w:val="21"/>
        </w:rPr>
        <w:t>、投标文件的密封和递交</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17.1</w:t>
      </w:r>
      <w:r>
        <w:rPr>
          <w:rFonts w:ascii="Arial" w:hAnsi="宋体" w:cs="Arial"/>
          <w:b/>
          <w:bCs/>
          <w:kern w:val="0"/>
          <w:szCs w:val="21"/>
        </w:rPr>
        <w:t>投标人的投标文件</w:t>
      </w:r>
      <w:r>
        <w:rPr>
          <w:rFonts w:ascii="Arial" w:hAnsi="宋体" w:cs="Arial"/>
          <w:b/>
        </w:rPr>
        <w:t>一式伍份（</w:t>
      </w:r>
      <w:r>
        <w:rPr>
          <w:rFonts w:ascii="Arial" w:hAnsi="宋体" w:cs="Arial"/>
          <w:b/>
          <w:bCs/>
          <w:kern w:val="0"/>
          <w:szCs w:val="21"/>
        </w:rPr>
        <w:t>正本一份、副本肆份</w:t>
      </w:r>
      <w:r>
        <w:rPr>
          <w:rFonts w:ascii="Arial" w:hAnsi="宋体" w:cs="Arial"/>
          <w:b/>
        </w:rPr>
        <w:t>），所有投标文件均应密封后递交，同时应提供电子版投标文件</w:t>
      </w:r>
      <w:r>
        <w:rPr>
          <w:rFonts w:ascii="Arial" w:hAnsi="宋体" w:cs="Arial"/>
          <w:b/>
          <w:szCs w:val="21"/>
        </w:rPr>
        <w:t>壹份（一般应为</w:t>
      </w:r>
      <w:r>
        <w:rPr>
          <w:rFonts w:ascii="Arial" w:hAnsi="Arial" w:cs="Arial"/>
          <w:b/>
          <w:szCs w:val="21"/>
        </w:rPr>
        <w:t>PDF</w:t>
      </w:r>
      <w:r>
        <w:rPr>
          <w:rFonts w:ascii="Arial" w:hAnsi="宋体" w:cs="Arial"/>
          <w:b/>
          <w:szCs w:val="21"/>
        </w:rPr>
        <w:t>格式、</w:t>
      </w:r>
      <w:r>
        <w:rPr>
          <w:rFonts w:ascii="Arial" w:hAnsi="Arial" w:cs="Arial"/>
          <w:b/>
          <w:szCs w:val="21"/>
        </w:rPr>
        <w:t>U</w:t>
      </w:r>
      <w:r>
        <w:rPr>
          <w:rFonts w:ascii="Arial" w:hAnsi="宋体" w:cs="Arial"/>
          <w:b/>
          <w:szCs w:val="21"/>
        </w:rPr>
        <w:t>盘形式（单独封装）、随纸质正本文件一并提交）</w:t>
      </w:r>
      <w:r>
        <w:rPr>
          <w:rFonts w:ascii="Arial" w:hAnsi="宋体" w:cs="Arial"/>
          <w:b/>
        </w:rPr>
        <w:t>。</w:t>
      </w:r>
      <w:r>
        <w:rPr>
          <w:rFonts w:ascii="Arial" w:hAnsi="宋体" w:cs="Arial"/>
        </w:rPr>
        <w:t>当电子版文件和纸质正本文件不一致时，以纸质正本文件为准。</w:t>
      </w:r>
      <w:r>
        <w:rPr>
          <w:rFonts w:ascii="Arial" w:hAnsi="宋体" w:cs="Arial"/>
          <w:kern w:val="0"/>
          <w:szCs w:val="21"/>
        </w:rPr>
        <w:t>每套投标文件须清楚标明</w:t>
      </w:r>
      <w:r>
        <w:rPr>
          <w:rFonts w:ascii="Arial" w:hAnsi="Arial" w:cs="Arial"/>
          <w:kern w:val="0"/>
          <w:szCs w:val="21"/>
        </w:rPr>
        <w:t>“</w:t>
      </w:r>
      <w:r>
        <w:rPr>
          <w:rFonts w:ascii="Arial" w:hAnsi="宋体" w:cs="Arial"/>
          <w:kern w:val="0"/>
          <w:szCs w:val="21"/>
        </w:rPr>
        <w:t>正本</w:t>
      </w:r>
      <w:r>
        <w:rPr>
          <w:rFonts w:ascii="Arial" w:hAnsi="Arial" w:cs="Arial"/>
          <w:kern w:val="0"/>
          <w:szCs w:val="21"/>
        </w:rPr>
        <w:t>”</w:t>
      </w:r>
      <w:r>
        <w:rPr>
          <w:rFonts w:ascii="Arial" w:hAnsi="宋体" w:cs="Arial"/>
          <w:kern w:val="0"/>
          <w:szCs w:val="21"/>
        </w:rPr>
        <w:t>、</w:t>
      </w:r>
      <w:r>
        <w:rPr>
          <w:rFonts w:ascii="Arial" w:hAnsi="Arial" w:cs="Arial"/>
          <w:kern w:val="0"/>
          <w:szCs w:val="21"/>
        </w:rPr>
        <w:t>“</w:t>
      </w:r>
      <w:r>
        <w:rPr>
          <w:rFonts w:ascii="Arial" w:hAnsi="宋体" w:cs="Arial"/>
          <w:kern w:val="0"/>
          <w:szCs w:val="21"/>
        </w:rPr>
        <w:t>副本</w:t>
      </w:r>
      <w:r>
        <w:rPr>
          <w:rFonts w:ascii="Arial" w:hAnsi="Arial" w:cs="Arial"/>
          <w:kern w:val="0"/>
          <w:szCs w:val="21"/>
        </w:rPr>
        <w:t>”</w:t>
      </w:r>
      <w:r>
        <w:rPr>
          <w:rFonts w:ascii="Arial" w:hAnsi="宋体" w:cs="Arial"/>
          <w:kern w:val="0"/>
          <w:szCs w:val="21"/>
        </w:rPr>
        <w:t>。</w:t>
      </w:r>
      <w:r>
        <w:rPr>
          <w:rFonts w:ascii="Arial" w:hAnsi="宋体" w:cs="Arial"/>
        </w:rPr>
        <w:t>如果它们之间内容有差异，以正本为准。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17.2 </w:t>
      </w:r>
      <w:r>
        <w:rPr>
          <w:rFonts w:ascii="Arial" w:hAnsi="宋体" w:cs="Arial"/>
          <w:b/>
        </w:rPr>
        <w:t>投标文件正本和所有副本均需打印或用不褪色墨水书写，并由投标人的法定代表人或授权代表签字并在招标文件中注明须加盖公章的地方加盖公章，如为授权代表签字的应附</w:t>
      </w:r>
      <w:r>
        <w:rPr>
          <w:rFonts w:ascii="Arial" w:hAnsi="Arial" w:cs="Arial"/>
          <w:b/>
        </w:rPr>
        <w:t>“</w:t>
      </w:r>
      <w:r>
        <w:rPr>
          <w:rFonts w:ascii="Arial" w:hAnsi="宋体" w:cs="Arial"/>
          <w:b/>
        </w:rPr>
        <w:t>法定代表人授权委托书</w:t>
      </w:r>
      <w:r>
        <w:rPr>
          <w:rFonts w:ascii="Arial" w:hAnsi="Arial" w:cs="Arial"/>
          <w:b/>
        </w:rPr>
        <w:t>”</w:t>
      </w:r>
      <w:r>
        <w:rPr>
          <w:rFonts w:ascii="Arial" w:hAnsi="宋体" w:cs="Arial"/>
          <w:b/>
        </w:rPr>
        <w:t>，正本必须为原件，但投标人的相关证明文件可采用复印件，采用复印件的，评标委员会认为需要时，投标人应提供原件供核对。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17.3 </w:t>
      </w:r>
      <w:r>
        <w:rPr>
          <w:rFonts w:ascii="Arial" w:hAnsi="宋体" w:cs="Arial"/>
          <w:kern w:val="0"/>
          <w:szCs w:val="21"/>
        </w:rPr>
        <w:t>投标文件不应有涂改、增删之处，如必须修改时，修改处必须有投标人法定代表人或授权代表签字</w:t>
      </w:r>
      <w:r>
        <w:rPr>
          <w:rFonts w:hint="eastAsia" w:ascii="Arial" w:hAnsi="宋体" w:cs="Arial"/>
          <w:kern w:val="0"/>
          <w:szCs w:val="21"/>
        </w:rPr>
        <w:t>，</w:t>
      </w:r>
      <w:r>
        <w:rPr>
          <w:rFonts w:ascii="Arial" w:hAnsi="宋体" w:cs="Arial"/>
          <w:kern w:val="0"/>
          <w:szCs w:val="21"/>
        </w:rPr>
        <w:t>同时加盖投标人公章。</w:t>
      </w:r>
    </w:p>
    <w:p>
      <w:pPr>
        <w:widowControl/>
        <w:shd w:val="clear" w:color="auto" w:fill="FFFFFF"/>
        <w:spacing w:line="360" w:lineRule="auto"/>
        <w:ind w:firstLine="420"/>
        <w:rPr>
          <w:rFonts w:ascii="Arial" w:hAnsi="Arial" w:cs="Arial"/>
          <w:kern w:val="0"/>
          <w:szCs w:val="21"/>
        </w:rPr>
      </w:pPr>
      <w:r>
        <w:rPr>
          <w:rFonts w:ascii="Arial" w:hAnsi="Arial" w:cs="Arial"/>
        </w:rPr>
        <w:t>17.4</w:t>
      </w:r>
      <w:r>
        <w:rPr>
          <w:rFonts w:ascii="Arial" w:hAnsi="宋体" w:cs="Arial"/>
        </w:rPr>
        <w:t>投标文件提倡按照</w:t>
      </w:r>
      <w:r>
        <w:rPr>
          <w:rFonts w:ascii="Arial" w:hAnsi="Arial" w:cs="Arial"/>
        </w:rPr>
        <w:t>A4</w:t>
      </w:r>
      <w:r>
        <w:rPr>
          <w:rFonts w:ascii="Arial" w:hAnsi="宋体" w:cs="Arial"/>
        </w:rPr>
        <w:t>幅面打印或复印并进行装订，如有资料超过</w:t>
      </w:r>
      <w:r>
        <w:rPr>
          <w:rFonts w:ascii="Arial" w:hAnsi="Arial" w:cs="Arial"/>
        </w:rPr>
        <w:t>A4</w:t>
      </w:r>
      <w:r>
        <w:rPr>
          <w:rFonts w:ascii="Arial" w:hAnsi="宋体" w:cs="Arial"/>
        </w:rPr>
        <w:t>幅面折叠成</w:t>
      </w:r>
      <w:r>
        <w:rPr>
          <w:rFonts w:ascii="Arial" w:hAnsi="Arial" w:cs="Arial"/>
        </w:rPr>
        <w:t>A4</w:t>
      </w:r>
      <w:r>
        <w:rPr>
          <w:rFonts w:ascii="Arial" w:hAnsi="宋体" w:cs="Arial"/>
        </w:rPr>
        <w:t>幅面；投标文件装订提倡采用胶装的形式。</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17.5 </w:t>
      </w:r>
      <w:r>
        <w:rPr>
          <w:rFonts w:ascii="Arial" w:hAnsi="宋体" w:cs="Arial"/>
          <w:kern w:val="0"/>
          <w:szCs w:val="21"/>
        </w:rPr>
        <w:t>投标人应当在招标文件要求提交投标文件的截止时间前，将投标文件密封送达投标地点。任何单位和个人不得在开标前开启投标文件。</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18</w:t>
      </w:r>
      <w:r>
        <w:rPr>
          <w:rFonts w:ascii="Arial" w:hAnsi="宋体" w:cs="Arial"/>
          <w:b/>
          <w:bCs/>
          <w:kern w:val="0"/>
          <w:szCs w:val="21"/>
        </w:rPr>
        <w:t>、有下列情形的投标文件将被拒收：</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18.1</w:t>
      </w:r>
      <w:r>
        <w:rPr>
          <w:rFonts w:ascii="Arial" w:hAnsi="宋体" w:cs="Arial"/>
          <w:kern w:val="0"/>
          <w:szCs w:val="21"/>
        </w:rPr>
        <w:t>逾期送达的；</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18.2</w:t>
      </w:r>
      <w:r>
        <w:rPr>
          <w:rFonts w:ascii="Arial" w:hAnsi="宋体" w:cs="Arial"/>
          <w:kern w:val="0"/>
          <w:szCs w:val="21"/>
        </w:rPr>
        <w:t>未按照招标文件要求密封的。</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19</w:t>
      </w:r>
      <w:r>
        <w:rPr>
          <w:rFonts w:ascii="Arial" w:hAnsi="宋体" w:cs="Arial"/>
          <w:b/>
          <w:bCs/>
          <w:kern w:val="0"/>
          <w:szCs w:val="21"/>
        </w:rPr>
        <w:t>、投标文件的修改和撤回</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19.1</w:t>
      </w:r>
      <w:r>
        <w:rPr>
          <w:rFonts w:ascii="Arial" w:hAnsi="宋体" w:cs="Arial"/>
          <w:kern w:val="0"/>
          <w:szCs w:val="21"/>
        </w:rPr>
        <w:t>投标人在投标截止时间前，可以对所递交的投标文件进行补充、修改或者撤回，并书面通知</w:t>
      </w:r>
      <w:r>
        <w:rPr>
          <w:rFonts w:hint="eastAsia" w:ascii="Arial" w:hAnsi="宋体" w:cs="Arial"/>
          <w:kern w:val="0"/>
          <w:szCs w:val="21"/>
        </w:rPr>
        <w:t>招标</w:t>
      </w:r>
      <w:r>
        <w:rPr>
          <w:rFonts w:ascii="Arial" w:hAnsi="宋体" w:cs="Arial"/>
          <w:kern w:val="0"/>
          <w:szCs w:val="21"/>
        </w:rPr>
        <w:t>人或者</w:t>
      </w:r>
      <w:r>
        <w:rPr>
          <w:rFonts w:hint="eastAsia" w:ascii="Arial" w:hAnsi="宋体" w:cs="Arial"/>
          <w:kern w:val="0"/>
          <w:szCs w:val="21"/>
        </w:rPr>
        <w:t>招标</w:t>
      </w:r>
      <w:r>
        <w:rPr>
          <w:rFonts w:ascii="Arial" w:hAnsi="宋体" w:cs="Arial"/>
          <w:kern w:val="0"/>
          <w:szCs w:val="21"/>
        </w:rPr>
        <w:t>代理机构。补充、修改的内容应当按照招标文件要求签署、盖章、密封后，作为投标文件的组成部分。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19.2 </w:t>
      </w:r>
      <w:r>
        <w:rPr>
          <w:rFonts w:ascii="Arial" w:hAnsi="宋体" w:cs="Arial"/>
          <w:kern w:val="0"/>
          <w:szCs w:val="21"/>
        </w:rPr>
        <w:t>投标截止时间之后，投标文件不得撤回；如撤回，投标保证金不予退还。</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20</w:t>
      </w:r>
      <w:r>
        <w:rPr>
          <w:rFonts w:ascii="Arial" w:hAnsi="宋体" w:cs="Arial"/>
          <w:b/>
          <w:bCs/>
          <w:kern w:val="0"/>
          <w:szCs w:val="21"/>
        </w:rPr>
        <w:t>、诚实信用</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20.1</w:t>
      </w:r>
      <w:r>
        <w:rPr>
          <w:rFonts w:ascii="Arial" w:hAnsi="宋体" w:cs="Arial"/>
          <w:kern w:val="0"/>
          <w:szCs w:val="21"/>
        </w:rPr>
        <w:t>投标人应当遵循公平竞争的原则，不得恶意串通，不得妨碍其他投标人的竞争行为，不得损害</w:t>
      </w:r>
      <w:r>
        <w:rPr>
          <w:rFonts w:hint="eastAsia" w:ascii="Arial" w:hAnsi="宋体" w:cs="Arial"/>
          <w:kern w:val="0"/>
          <w:szCs w:val="21"/>
        </w:rPr>
        <w:t>招标</w:t>
      </w:r>
      <w:r>
        <w:rPr>
          <w:rFonts w:ascii="Arial" w:hAnsi="宋体" w:cs="Arial"/>
          <w:kern w:val="0"/>
          <w:szCs w:val="21"/>
        </w:rPr>
        <w:t>人或者其他投标人的合法权益。</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20.2</w:t>
      </w:r>
      <w:r>
        <w:rPr>
          <w:rFonts w:ascii="Arial" w:hAnsi="宋体" w:cs="Arial"/>
          <w:kern w:val="0"/>
          <w:szCs w:val="21"/>
        </w:rPr>
        <w:t>在评标过程中发现投标人有上述情形的，评标委员会应当认定其投标无效，并书面报告本级财政部门。</w:t>
      </w:r>
    </w:p>
    <w:p>
      <w:pPr>
        <w:widowControl/>
        <w:shd w:val="clear" w:color="auto" w:fill="FFFFFF"/>
        <w:spacing w:line="360" w:lineRule="auto"/>
        <w:ind w:firstLine="420"/>
        <w:rPr>
          <w:rFonts w:ascii="Arial" w:hAnsi="Arial" w:cs="Arial"/>
          <w:kern w:val="0"/>
          <w:szCs w:val="21"/>
        </w:rPr>
      </w:pPr>
      <w:r>
        <w:rPr>
          <w:rFonts w:ascii="Arial" w:hAnsi="宋体" w:cs="Arial"/>
          <w:b/>
          <w:bCs/>
          <w:kern w:val="0"/>
          <w:szCs w:val="21"/>
        </w:rPr>
        <w:t>五、开标、评标与定标</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21</w:t>
      </w:r>
      <w:r>
        <w:rPr>
          <w:rFonts w:ascii="Arial" w:hAnsi="宋体" w:cs="Arial"/>
          <w:b/>
          <w:bCs/>
          <w:kern w:val="0"/>
          <w:szCs w:val="21"/>
        </w:rPr>
        <w:t>、开标</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21.1 </w:t>
      </w:r>
      <w:r>
        <w:rPr>
          <w:rFonts w:hint="eastAsia" w:ascii="Arial" w:hAnsi="宋体" w:cs="Arial"/>
          <w:kern w:val="0"/>
          <w:szCs w:val="21"/>
        </w:rPr>
        <w:t>招标</w:t>
      </w:r>
      <w:r>
        <w:rPr>
          <w:rFonts w:ascii="Arial" w:hAnsi="宋体" w:cs="Arial"/>
          <w:kern w:val="0"/>
          <w:szCs w:val="21"/>
        </w:rPr>
        <w:t>代理机构将在招标文件确定的时间和地点进行公开开标。投标人应委派代表准时参加，参加开标的代表须签名报到以证明其出席。</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21.2</w:t>
      </w:r>
      <w:r>
        <w:rPr>
          <w:rFonts w:ascii="Arial" w:hAnsi="宋体" w:cs="Arial"/>
          <w:kern w:val="0"/>
          <w:szCs w:val="21"/>
        </w:rPr>
        <w:t>开标时，应当由投标人或者其推选的代表检查投标文件的密封情况；经确认无误后，由</w:t>
      </w:r>
      <w:r>
        <w:rPr>
          <w:rFonts w:hint="eastAsia" w:ascii="Arial" w:hAnsi="宋体" w:cs="Arial"/>
          <w:kern w:val="0"/>
          <w:szCs w:val="21"/>
        </w:rPr>
        <w:t>招标</w:t>
      </w:r>
      <w:r>
        <w:rPr>
          <w:rFonts w:ascii="Arial" w:hAnsi="宋体" w:cs="Arial"/>
          <w:kern w:val="0"/>
          <w:szCs w:val="21"/>
        </w:rPr>
        <w:t>人或者</w:t>
      </w:r>
      <w:r>
        <w:rPr>
          <w:rFonts w:hint="eastAsia" w:ascii="Arial" w:hAnsi="宋体" w:cs="Arial"/>
          <w:kern w:val="0"/>
          <w:szCs w:val="21"/>
        </w:rPr>
        <w:t>招标</w:t>
      </w:r>
      <w:r>
        <w:rPr>
          <w:rFonts w:ascii="Arial" w:hAnsi="宋体" w:cs="Arial"/>
          <w:kern w:val="0"/>
          <w:szCs w:val="21"/>
        </w:rPr>
        <w:t>代理机构工作人员当众拆封，宣布投标人名称、投标价格和招标文件规定的需要宣布的其他内容。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21.3</w:t>
      </w:r>
      <w:r>
        <w:rPr>
          <w:rFonts w:ascii="Arial" w:hAnsi="宋体" w:cs="Arial"/>
          <w:kern w:val="0"/>
          <w:szCs w:val="21"/>
        </w:rPr>
        <w:t>投标人不足</w:t>
      </w:r>
      <w:r>
        <w:rPr>
          <w:rFonts w:ascii="Arial" w:hAnsi="Arial" w:cs="Arial"/>
          <w:kern w:val="0"/>
          <w:szCs w:val="21"/>
        </w:rPr>
        <w:t>3</w:t>
      </w:r>
      <w:r>
        <w:rPr>
          <w:rFonts w:ascii="Arial" w:hAnsi="宋体" w:cs="Arial"/>
          <w:kern w:val="0"/>
          <w:szCs w:val="21"/>
        </w:rPr>
        <w:t>家的，不得开标。</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21.4</w:t>
      </w:r>
      <w:r>
        <w:rPr>
          <w:rFonts w:ascii="Arial" w:hAnsi="宋体" w:cs="Arial"/>
          <w:kern w:val="0"/>
          <w:szCs w:val="21"/>
        </w:rPr>
        <w:t>开标过程由</w:t>
      </w:r>
      <w:r>
        <w:rPr>
          <w:rFonts w:hint="eastAsia" w:ascii="Arial" w:hAnsi="宋体" w:cs="Arial"/>
          <w:kern w:val="0"/>
          <w:szCs w:val="21"/>
        </w:rPr>
        <w:t>招标</w:t>
      </w:r>
      <w:r>
        <w:rPr>
          <w:rFonts w:ascii="Arial" w:hAnsi="宋体" w:cs="Arial"/>
          <w:kern w:val="0"/>
          <w:szCs w:val="21"/>
        </w:rPr>
        <w:t>代理机构负责记录，由参加开标的各投标人代表和相关工作人员签字确认后随</w:t>
      </w:r>
      <w:r>
        <w:rPr>
          <w:rFonts w:hint="eastAsia" w:ascii="Arial" w:hAnsi="宋体" w:cs="Arial"/>
          <w:kern w:val="0"/>
          <w:szCs w:val="21"/>
        </w:rPr>
        <w:t>招标</w:t>
      </w:r>
      <w:r>
        <w:rPr>
          <w:rFonts w:ascii="Arial" w:hAnsi="宋体" w:cs="Arial"/>
          <w:kern w:val="0"/>
          <w:szCs w:val="21"/>
        </w:rPr>
        <w:t>文件一并存档。</w:t>
      </w:r>
    </w:p>
    <w:p>
      <w:pPr>
        <w:spacing w:line="360" w:lineRule="auto"/>
        <w:ind w:firstLine="420" w:firstLineChars="200"/>
        <w:rPr>
          <w:rFonts w:ascii="Arial" w:hAnsi="Arial" w:cs="Arial"/>
        </w:rPr>
      </w:pPr>
      <w:r>
        <w:rPr>
          <w:rFonts w:ascii="Arial" w:hAnsi="宋体" w:cs="Arial"/>
        </w:rPr>
        <w:t>投标人代表对开标过程和开标记录有疑义，以及认为</w:t>
      </w:r>
      <w:r>
        <w:rPr>
          <w:rFonts w:hint="eastAsia" w:ascii="Arial" w:hAnsi="宋体" w:cs="Arial"/>
        </w:rPr>
        <w:t>招标</w:t>
      </w:r>
      <w:r>
        <w:rPr>
          <w:rFonts w:ascii="Arial" w:hAnsi="宋体" w:cs="Arial"/>
        </w:rPr>
        <w:t>人、</w:t>
      </w:r>
      <w:r>
        <w:rPr>
          <w:rFonts w:hint="eastAsia" w:ascii="Arial" w:hAnsi="宋体" w:cs="Arial"/>
        </w:rPr>
        <w:t>招标</w:t>
      </w:r>
      <w:r>
        <w:rPr>
          <w:rFonts w:ascii="Arial" w:hAnsi="宋体" w:cs="Arial"/>
        </w:rPr>
        <w:t>代理机构相关工作人员有需要回避的情形的，应当场提出询问或者回避申请。</w:t>
      </w:r>
      <w:r>
        <w:rPr>
          <w:rFonts w:hint="eastAsia" w:ascii="Arial" w:hAnsi="宋体" w:cs="Arial"/>
        </w:rPr>
        <w:t>招标</w:t>
      </w:r>
      <w:r>
        <w:rPr>
          <w:rFonts w:ascii="Arial" w:hAnsi="宋体" w:cs="Arial"/>
        </w:rPr>
        <w:t>人、</w:t>
      </w:r>
      <w:r>
        <w:rPr>
          <w:rFonts w:hint="eastAsia" w:ascii="Arial" w:hAnsi="宋体" w:cs="Arial"/>
        </w:rPr>
        <w:t>招标</w:t>
      </w:r>
      <w:r>
        <w:rPr>
          <w:rFonts w:ascii="Arial" w:hAnsi="宋体" w:cs="Arial"/>
        </w:rPr>
        <w:t>代理机构对投标人代表提出的询问或者回避申请及时处理。</w:t>
      </w:r>
    </w:p>
    <w:p>
      <w:pPr>
        <w:spacing w:line="360" w:lineRule="auto"/>
        <w:ind w:firstLine="420" w:firstLineChars="200"/>
        <w:rPr>
          <w:rFonts w:ascii="Arial" w:hAnsi="Arial" w:cs="Arial"/>
        </w:rPr>
      </w:pPr>
      <w:r>
        <w:rPr>
          <w:rFonts w:ascii="Arial" w:hAnsi="Arial" w:cs="Arial"/>
        </w:rPr>
        <w:t>21.5</w:t>
      </w:r>
      <w:r>
        <w:rPr>
          <w:rFonts w:ascii="Arial" w:hAnsi="宋体" w:cs="Arial"/>
        </w:rPr>
        <w:t>投标人未参加开标的，视同认可开标结果。</w:t>
      </w:r>
    </w:p>
    <w:p>
      <w:pPr>
        <w:spacing w:line="360" w:lineRule="auto"/>
        <w:ind w:firstLine="420" w:firstLineChars="200"/>
        <w:rPr>
          <w:rFonts w:ascii="Arial" w:hAnsi="Arial" w:cs="Arial"/>
        </w:rPr>
      </w:pPr>
      <w:r>
        <w:rPr>
          <w:rFonts w:ascii="Arial" w:hAnsi="Arial" w:cs="Arial"/>
        </w:rPr>
        <w:t>21.6</w:t>
      </w:r>
      <w:r>
        <w:rPr>
          <w:rFonts w:ascii="Arial" w:hAnsi="宋体" w:cs="Arial"/>
        </w:rPr>
        <w:t>公开招标数额标准以上的采购项目，投标截止后投标人不足</w:t>
      </w:r>
      <w:r>
        <w:rPr>
          <w:rFonts w:ascii="Arial" w:hAnsi="Arial" w:cs="Arial"/>
        </w:rPr>
        <w:t>3</w:t>
      </w:r>
      <w:r>
        <w:rPr>
          <w:rFonts w:ascii="Arial" w:hAnsi="宋体" w:cs="Arial"/>
        </w:rPr>
        <w:t>家或者通过资格审查或符合性审查的投标人不足</w:t>
      </w:r>
      <w:r>
        <w:rPr>
          <w:rFonts w:ascii="Arial" w:hAnsi="Arial" w:cs="Arial"/>
        </w:rPr>
        <w:t>3</w:t>
      </w:r>
      <w:r>
        <w:rPr>
          <w:rFonts w:ascii="Arial" w:hAnsi="宋体" w:cs="Arial"/>
        </w:rPr>
        <w:t>家的，除采购任务取消情形外，按照以下方式处理：</w:t>
      </w:r>
    </w:p>
    <w:p>
      <w:pPr>
        <w:spacing w:line="360" w:lineRule="auto"/>
        <w:ind w:firstLine="420" w:firstLineChars="200"/>
        <w:rPr>
          <w:rFonts w:ascii="Arial" w:hAnsi="Arial" w:cs="Arial"/>
        </w:rPr>
      </w:pPr>
      <w:r>
        <w:rPr>
          <w:rFonts w:ascii="Arial" w:hAnsi="宋体" w:cs="Arial"/>
        </w:rPr>
        <w:t>（</w:t>
      </w:r>
      <w:r>
        <w:rPr>
          <w:rFonts w:ascii="Arial" w:hAnsi="Arial" w:cs="Arial"/>
        </w:rPr>
        <w:t>1</w:t>
      </w:r>
      <w:r>
        <w:rPr>
          <w:rFonts w:ascii="Arial" w:hAnsi="宋体" w:cs="Arial"/>
        </w:rPr>
        <w:t>）招标文件存在不合理条款或者招标程序不符合规定的，</w:t>
      </w:r>
      <w:r>
        <w:rPr>
          <w:rFonts w:hint="eastAsia" w:ascii="Arial" w:hAnsi="宋体" w:cs="Arial"/>
        </w:rPr>
        <w:t>招标</w:t>
      </w:r>
      <w:r>
        <w:rPr>
          <w:rFonts w:ascii="Arial" w:hAnsi="宋体" w:cs="Arial"/>
        </w:rPr>
        <w:t>人、</w:t>
      </w:r>
      <w:r>
        <w:rPr>
          <w:rFonts w:hint="eastAsia" w:ascii="Arial" w:hAnsi="宋体" w:cs="Arial"/>
        </w:rPr>
        <w:t>招标</w:t>
      </w:r>
      <w:r>
        <w:rPr>
          <w:rFonts w:ascii="Arial" w:hAnsi="宋体" w:cs="Arial"/>
        </w:rPr>
        <w:t>代理机构改正后依法重新招标；</w:t>
      </w:r>
    </w:p>
    <w:p>
      <w:pPr>
        <w:widowControl/>
        <w:shd w:val="clear" w:color="auto" w:fill="FFFFFF"/>
        <w:spacing w:line="360" w:lineRule="auto"/>
        <w:ind w:firstLine="420"/>
        <w:rPr>
          <w:rFonts w:ascii="Arial" w:hAnsi="Arial" w:cs="Arial"/>
          <w:kern w:val="0"/>
          <w:szCs w:val="21"/>
        </w:rPr>
      </w:pPr>
      <w:r>
        <w:rPr>
          <w:rFonts w:ascii="Arial" w:hAnsi="宋体" w:cs="Arial"/>
        </w:rPr>
        <w:t>（</w:t>
      </w:r>
      <w:r>
        <w:rPr>
          <w:rFonts w:ascii="Arial" w:hAnsi="Arial" w:cs="Arial"/>
        </w:rPr>
        <w:t>2</w:t>
      </w:r>
      <w:r>
        <w:rPr>
          <w:rFonts w:ascii="Arial" w:hAnsi="宋体" w:cs="Arial"/>
        </w:rPr>
        <w:t>）招标文件没有不合理条款、招标程序符合规定，需要采用其他采购方式采购的，</w:t>
      </w:r>
      <w:r>
        <w:rPr>
          <w:rFonts w:hint="eastAsia" w:ascii="Arial" w:hAnsi="宋体" w:cs="Arial"/>
        </w:rPr>
        <w:t>招标</w:t>
      </w:r>
      <w:r>
        <w:rPr>
          <w:rFonts w:ascii="Arial" w:hAnsi="宋体" w:cs="Arial"/>
        </w:rPr>
        <w:t>人依法报财政部门批准，</w:t>
      </w:r>
      <w:r>
        <w:rPr>
          <w:rFonts w:ascii="Arial" w:hAnsi="宋体" w:cs="Arial"/>
          <w:kern w:val="0"/>
          <w:szCs w:val="21"/>
        </w:rPr>
        <w:t>经批准后，可变更为其他采购方式采购。本次招标文件中对投标人资格条件要求、技术要求和商务等要求，将作为其他采购方式采购的基本要求和谈判依据。</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22</w:t>
      </w:r>
      <w:r>
        <w:rPr>
          <w:rFonts w:ascii="Arial" w:hAnsi="宋体" w:cs="Arial"/>
          <w:b/>
          <w:bCs/>
          <w:kern w:val="0"/>
          <w:szCs w:val="21"/>
        </w:rPr>
        <w:t>、评标</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 xml:space="preserve">22.1 </w:t>
      </w:r>
      <w:r>
        <w:rPr>
          <w:rFonts w:ascii="Arial" w:hAnsi="宋体" w:cs="Arial"/>
          <w:b/>
          <w:bCs/>
          <w:kern w:val="0"/>
          <w:szCs w:val="21"/>
        </w:rPr>
        <w:t>评标委员会</w:t>
      </w:r>
    </w:p>
    <w:p>
      <w:pPr>
        <w:widowControl/>
        <w:shd w:val="clear" w:color="auto" w:fill="FFFFFF"/>
        <w:spacing w:line="360" w:lineRule="auto"/>
        <w:ind w:firstLine="420"/>
        <w:rPr>
          <w:rFonts w:ascii="Arial" w:hAnsi="Arial" w:cs="Arial"/>
          <w:bCs/>
          <w:kern w:val="0"/>
          <w:szCs w:val="21"/>
        </w:rPr>
      </w:pPr>
      <w:r>
        <w:rPr>
          <w:rFonts w:ascii="Arial" w:hAnsi="Arial" w:cs="Arial"/>
          <w:b/>
          <w:bCs/>
          <w:kern w:val="0"/>
          <w:szCs w:val="21"/>
        </w:rPr>
        <w:t>22.1.1</w:t>
      </w:r>
      <w:r>
        <w:rPr>
          <w:rFonts w:ascii="Arial" w:hAnsi="宋体" w:cs="Arial"/>
          <w:bCs/>
          <w:kern w:val="0"/>
          <w:szCs w:val="21"/>
        </w:rPr>
        <w:t>评标委员会负责具体评标事务，并独立履行下列职责：</w:t>
      </w:r>
    </w:p>
    <w:p>
      <w:pPr>
        <w:widowControl/>
        <w:shd w:val="clear" w:color="auto" w:fill="FFFFFF"/>
        <w:spacing w:line="360" w:lineRule="auto"/>
        <w:ind w:firstLine="420"/>
        <w:rPr>
          <w:rFonts w:ascii="Arial" w:hAnsi="Arial" w:cs="Arial"/>
          <w:bCs/>
          <w:kern w:val="0"/>
          <w:szCs w:val="21"/>
        </w:rPr>
      </w:pPr>
      <w:r>
        <w:rPr>
          <w:rFonts w:ascii="Arial" w:hAnsi="宋体" w:cs="Arial"/>
          <w:bCs/>
          <w:kern w:val="0"/>
          <w:szCs w:val="21"/>
        </w:rPr>
        <w:t>（一）审查、评价投标文件是否符合招标文件的商务、技术等实质性要求；</w:t>
      </w:r>
    </w:p>
    <w:p>
      <w:pPr>
        <w:widowControl/>
        <w:shd w:val="clear" w:color="auto" w:fill="FFFFFF"/>
        <w:spacing w:line="360" w:lineRule="auto"/>
        <w:ind w:firstLine="420"/>
        <w:rPr>
          <w:rFonts w:ascii="Arial" w:hAnsi="Arial" w:cs="Arial"/>
          <w:bCs/>
          <w:kern w:val="0"/>
          <w:szCs w:val="21"/>
        </w:rPr>
      </w:pPr>
      <w:r>
        <w:rPr>
          <w:rFonts w:ascii="Arial" w:hAnsi="宋体" w:cs="Arial"/>
          <w:bCs/>
          <w:kern w:val="0"/>
          <w:szCs w:val="21"/>
        </w:rPr>
        <w:t>（二）要求投标人对投标文件有关事项作出澄清或者说明；</w:t>
      </w:r>
    </w:p>
    <w:p>
      <w:pPr>
        <w:widowControl/>
        <w:shd w:val="clear" w:color="auto" w:fill="FFFFFF"/>
        <w:spacing w:line="360" w:lineRule="auto"/>
        <w:ind w:firstLine="420"/>
        <w:rPr>
          <w:rFonts w:ascii="Arial" w:hAnsi="Arial" w:cs="Arial"/>
          <w:bCs/>
          <w:kern w:val="0"/>
          <w:szCs w:val="21"/>
        </w:rPr>
      </w:pPr>
      <w:r>
        <w:rPr>
          <w:rFonts w:ascii="Arial" w:hAnsi="宋体" w:cs="Arial"/>
          <w:bCs/>
          <w:kern w:val="0"/>
          <w:szCs w:val="21"/>
        </w:rPr>
        <w:t>（三）对投标文件进行比较和评价；</w:t>
      </w:r>
    </w:p>
    <w:p>
      <w:pPr>
        <w:widowControl/>
        <w:shd w:val="clear" w:color="auto" w:fill="FFFFFF"/>
        <w:spacing w:line="360" w:lineRule="auto"/>
        <w:ind w:firstLine="420"/>
        <w:rPr>
          <w:rFonts w:ascii="Arial" w:hAnsi="Arial" w:cs="Arial"/>
          <w:bCs/>
          <w:kern w:val="0"/>
          <w:szCs w:val="21"/>
        </w:rPr>
      </w:pPr>
      <w:r>
        <w:rPr>
          <w:rFonts w:ascii="Arial" w:hAnsi="宋体" w:cs="Arial"/>
          <w:bCs/>
          <w:kern w:val="0"/>
          <w:szCs w:val="21"/>
        </w:rPr>
        <w:t>（四）确定中标候选人名单，以及根据采购人委托直接确定中标人；</w:t>
      </w:r>
    </w:p>
    <w:p>
      <w:pPr>
        <w:widowControl/>
        <w:shd w:val="clear" w:color="auto" w:fill="FFFFFF"/>
        <w:spacing w:line="360" w:lineRule="auto"/>
        <w:ind w:firstLine="420"/>
        <w:rPr>
          <w:rFonts w:ascii="Arial" w:hAnsi="Arial" w:cs="Arial"/>
          <w:kern w:val="0"/>
          <w:szCs w:val="21"/>
        </w:rPr>
      </w:pPr>
      <w:r>
        <w:rPr>
          <w:rFonts w:ascii="Arial" w:hAnsi="宋体" w:cs="Arial"/>
          <w:bCs/>
          <w:kern w:val="0"/>
          <w:szCs w:val="21"/>
        </w:rPr>
        <w:t>（五）向</w:t>
      </w:r>
      <w:r>
        <w:rPr>
          <w:rFonts w:hint="eastAsia" w:ascii="Arial" w:hAnsi="宋体" w:cs="Arial"/>
          <w:bCs/>
          <w:kern w:val="0"/>
          <w:szCs w:val="21"/>
        </w:rPr>
        <w:t>招标</w:t>
      </w:r>
      <w:r>
        <w:rPr>
          <w:rFonts w:ascii="Arial" w:hAnsi="宋体" w:cs="Arial"/>
          <w:bCs/>
          <w:kern w:val="0"/>
          <w:szCs w:val="21"/>
        </w:rPr>
        <w:t>人、</w:t>
      </w:r>
      <w:r>
        <w:rPr>
          <w:rFonts w:hint="eastAsia" w:ascii="Arial" w:hAnsi="宋体" w:cs="Arial"/>
          <w:bCs/>
          <w:kern w:val="0"/>
          <w:szCs w:val="21"/>
        </w:rPr>
        <w:t>招标</w:t>
      </w:r>
      <w:r>
        <w:rPr>
          <w:rFonts w:ascii="Arial" w:hAnsi="宋体" w:cs="Arial"/>
          <w:bCs/>
          <w:kern w:val="0"/>
          <w:szCs w:val="21"/>
        </w:rPr>
        <w:t>代理机构或者有关部门报告评标中发现的违法行为。</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 xml:space="preserve">22.1.2 </w:t>
      </w:r>
      <w:r>
        <w:rPr>
          <w:rFonts w:ascii="Arial" w:hAnsi="宋体" w:cs="Arial"/>
          <w:kern w:val="0"/>
          <w:szCs w:val="21"/>
        </w:rPr>
        <w:t>评标委员会由</w:t>
      </w:r>
      <w:r>
        <w:rPr>
          <w:rFonts w:hint="eastAsia" w:ascii="Arial" w:hAnsi="宋体" w:cs="Arial"/>
          <w:bCs/>
          <w:kern w:val="0"/>
          <w:szCs w:val="21"/>
        </w:rPr>
        <w:t>招标</w:t>
      </w:r>
      <w:r>
        <w:rPr>
          <w:rFonts w:ascii="Arial" w:hAnsi="宋体" w:cs="Arial"/>
          <w:kern w:val="0"/>
          <w:szCs w:val="21"/>
        </w:rPr>
        <w:t>人代表和有关技术、经济等方面的专家组成，独立开展评审工作。</w:t>
      </w:r>
    </w:p>
    <w:p>
      <w:pPr>
        <w:widowControl/>
        <w:shd w:val="clear" w:color="auto" w:fill="FFFFFF"/>
        <w:spacing w:line="360" w:lineRule="auto"/>
        <w:ind w:firstLine="420"/>
        <w:jc w:val="left"/>
        <w:rPr>
          <w:rFonts w:ascii="Arial" w:hAnsi="Arial" w:cs="Arial"/>
          <w:kern w:val="0"/>
          <w:szCs w:val="21"/>
        </w:rPr>
      </w:pPr>
      <w:r>
        <w:rPr>
          <w:rFonts w:ascii="Arial" w:hAnsi="Arial" w:cs="Arial"/>
          <w:b/>
          <w:bCs/>
          <w:kern w:val="0"/>
          <w:szCs w:val="21"/>
        </w:rPr>
        <w:t xml:space="preserve">22.2  </w:t>
      </w:r>
      <w:r>
        <w:rPr>
          <w:rFonts w:ascii="Arial" w:hAnsi="宋体" w:cs="Arial"/>
          <w:b/>
          <w:bCs/>
          <w:kern w:val="0"/>
          <w:szCs w:val="21"/>
        </w:rPr>
        <w:t>评标程序</w:t>
      </w:r>
    </w:p>
    <w:p>
      <w:pPr>
        <w:widowControl/>
        <w:shd w:val="clear" w:color="auto" w:fill="FFFFFF"/>
        <w:spacing w:line="360" w:lineRule="auto"/>
        <w:ind w:firstLine="420"/>
        <w:jc w:val="left"/>
        <w:rPr>
          <w:rFonts w:ascii="Arial" w:hAnsi="Arial" w:cs="Arial"/>
          <w:b/>
          <w:kern w:val="0"/>
          <w:szCs w:val="21"/>
        </w:rPr>
      </w:pPr>
      <w:r>
        <w:rPr>
          <w:rFonts w:ascii="Arial" w:hAnsi="Arial" w:cs="Arial"/>
          <w:b/>
          <w:kern w:val="0"/>
          <w:szCs w:val="21"/>
        </w:rPr>
        <w:t xml:space="preserve">22.2.1 </w:t>
      </w:r>
      <w:r>
        <w:rPr>
          <w:rFonts w:ascii="Arial" w:hAnsi="宋体" w:cs="Arial"/>
          <w:b/>
          <w:bCs/>
          <w:kern w:val="0"/>
          <w:szCs w:val="21"/>
        </w:rPr>
        <w:t>投标文件的资格性检查。</w:t>
      </w:r>
      <w:r>
        <w:rPr>
          <w:rFonts w:ascii="Arial" w:hAnsi="宋体" w:cs="Arial"/>
          <w:kern w:val="0"/>
          <w:szCs w:val="21"/>
        </w:rPr>
        <w:t>公开招标采购项目开标结束后，</w:t>
      </w:r>
      <w:r>
        <w:rPr>
          <w:rFonts w:hint="eastAsia" w:ascii="Arial" w:hAnsi="宋体" w:cs="Arial"/>
        </w:rPr>
        <w:t>招标</w:t>
      </w:r>
      <w:r>
        <w:rPr>
          <w:rFonts w:ascii="Arial" w:hAnsi="宋体" w:cs="Arial"/>
          <w:kern w:val="0"/>
          <w:szCs w:val="21"/>
        </w:rPr>
        <w:t>人或者</w:t>
      </w:r>
      <w:r>
        <w:rPr>
          <w:rFonts w:hint="eastAsia" w:ascii="Arial" w:hAnsi="宋体" w:cs="Arial"/>
        </w:rPr>
        <w:t>招标</w:t>
      </w:r>
      <w:r>
        <w:rPr>
          <w:rFonts w:ascii="Arial" w:hAnsi="宋体" w:cs="Arial"/>
          <w:kern w:val="0"/>
          <w:szCs w:val="21"/>
        </w:rPr>
        <w:t>代理机构应当依法对投标人的资格进行审查。合格投标人不足</w:t>
      </w:r>
      <w:r>
        <w:rPr>
          <w:rFonts w:ascii="Arial" w:hAnsi="Arial" w:cs="Arial"/>
          <w:kern w:val="0"/>
          <w:szCs w:val="21"/>
        </w:rPr>
        <w:t>3</w:t>
      </w:r>
      <w:r>
        <w:rPr>
          <w:rFonts w:ascii="Arial" w:hAnsi="宋体" w:cs="Arial"/>
          <w:kern w:val="0"/>
          <w:szCs w:val="21"/>
        </w:rPr>
        <w:t>家的，不得评标。</w:t>
      </w:r>
    </w:p>
    <w:p>
      <w:pPr>
        <w:widowControl/>
        <w:shd w:val="clear" w:color="auto" w:fill="FFFFFF"/>
        <w:spacing w:line="360" w:lineRule="auto"/>
        <w:ind w:firstLine="420"/>
        <w:jc w:val="left"/>
        <w:rPr>
          <w:rFonts w:ascii="Arial" w:hAnsi="Arial" w:cs="Arial"/>
          <w:kern w:val="0"/>
          <w:szCs w:val="21"/>
        </w:rPr>
      </w:pPr>
      <w:r>
        <w:rPr>
          <w:rFonts w:ascii="Arial" w:hAnsi="Arial" w:cs="Arial"/>
          <w:b/>
          <w:bCs/>
          <w:kern w:val="0"/>
          <w:szCs w:val="21"/>
        </w:rPr>
        <w:t>22.2.2</w:t>
      </w:r>
      <w:r>
        <w:rPr>
          <w:rFonts w:ascii="Arial" w:hAnsi="宋体" w:cs="Arial"/>
          <w:b/>
          <w:bCs/>
          <w:kern w:val="0"/>
          <w:szCs w:val="21"/>
        </w:rPr>
        <w:t>投标文件的符合性审查</w:t>
      </w:r>
      <w:r>
        <w:rPr>
          <w:rFonts w:ascii="Arial" w:hAnsi="宋体" w:cs="Arial"/>
          <w:kern w:val="0"/>
          <w:szCs w:val="21"/>
        </w:rPr>
        <w:t>。评标委员会对通过资格性检查的投标人的投标文件进行符合性审查，以确定其是否满足招标文件的实质性要求。投标文件有下列情况之一的，在符合性检查时按照无效投标处理：</w:t>
      </w:r>
    </w:p>
    <w:p>
      <w:pPr>
        <w:widowControl/>
        <w:shd w:val="clear" w:color="auto" w:fill="FFFFFF"/>
        <w:spacing w:line="360" w:lineRule="auto"/>
        <w:ind w:firstLine="420"/>
        <w:jc w:val="left"/>
        <w:rPr>
          <w:rFonts w:ascii="Arial" w:hAnsi="Arial" w:cs="Arial"/>
          <w:b/>
          <w:kern w:val="0"/>
          <w:szCs w:val="21"/>
        </w:rPr>
      </w:pPr>
      <w:r>
        <w:rPr>
          <w:rFonts w:ascii="Arial" w:hAnsi="宋体" w:cs="Arial"/>
          <w:b/>
          <w:kern w:val="0"/>
          <w:szCs w:val="21"/>
        </w:rPr>
        <w:t>（</w:t>
      </w:r>
      <w:r>
        <w:rPr>
          <w:rFonts w:ascii="Arial" w:hAnsi="Arial" w:cs="Arial"/>
          <w:b/>
          <w:kern w:val="0"/>
          <w:szCs w:val="21"/>
        </w:rPr>
        <w:t>1</w:t>
      </w:r>
      <w:r>
        <w:rPr>
          <w:rFonts w:ascii="Arial" w:hAnsi="宋体" w:cs="Arial"/>
          <w:b/>
          <w:kern w:val="0"/>
          <w:szCs w:val="21"/>
        </w:rPr>
        <w:t>）未按投标邀请规定的数额和办法交纳投标保证金的；</w:t>
      </w:r>
    </w:p>
    <w:p>
      <w:pPr>
        <w:widowControl/>
        <w:shd w:val="clear" w:color="auto" w:fill="FFFFFF"/>
        <w:spacing w:line="360" w:lineRule="auto"/>
        <w:ind w:firstLine="420"/>
        <w:jc w:val="left"/>
        <w:rPr>
          <w:rFonts w:ascii="Arial" w:hAnsi="Arial" w:cs="Arial"/>
          <w:b/>
          <w:kern w:val="0"/>
          <w:szCs w:val="21"/>
        </w:rPr>
      </w:pPr>
      <w:r>
        <w:rPr>
          <w:rFonts w:ascii="Arial" w:hAnsi="宋体" w:cs="Arial"/>
          <w:b/>
          <w:kern w:val="0"/>
          <w:szCs w:val="21"/>
        </w:rPr>
        <w:t>（</w:t>
      </w:r>
      <w:r>
        <w:rPr>
          <w:rFonts w:ascii="Arial" w:hAnsi="Arial" w:cs="Arial"/>
          <w:b/>
          <w:kern w:val="0"/>
          <w:szCs w:val="21"/>
        </w:rPr>
        <w:t>2</w:t>
      </w:r>
      <w:r>
        <w:rPr>
          <w:rFonts w:ascii="Arial" w:hAnsi="宋体" w:cs="Arial"/>
          <w:b/>
          <w:kern w:val="0"/>
          <w:szCs w:val="21"/>
        </w:rPr>
        <w:t>）未按照招标文件规定要求密封、签署、盖章的</w:t>
      </w:r>
      <w:r>
        <w:rPr>
          <w:rFonts w:ascii="Arial" w:hAnsi="宋体" w:cs="Arial"/>
          <w:b/>
          <w:bCs/>
          <w:kern w:val="0"/>
          <w:szCs w:val="21"/>
        </w:rPr>
        <w:t>；</w:t>
      </w:r>
    </w:p>
    <w:p>
      <w:pPr>
        <w:widowControl/>
        <w:shd w:val="clear" w:color="auto" w:fill="FFFFFF"/>
        <w:spacing w:line="360" w:lineRule="auto"/>
        <w:ind w:firstLine="420"/>
        <w:jc w:val="left"/>
        <w:rPr>
          <w:rFonts w:ascii="Arial" w:hAnsi="Arial" w:cs="Arial"/>
          <w:b/>
          <w:kern w:val="0"/>
          <w:szCs w:val="21"/>
        </w:rPr>
      </w:pPr>
      <w:r>
        <w:rPr>
          <w:rFonts w:ascii="Arial" w:hAnsi="宋体" w:cs="Arial"/>
          <w:b/>
          <w:kern w:val="0"/>
          <w:szCs w:val="21"/>
        </w:rPr>
        <w:t>（</w:t>
      </w:r>
      <w:r>
        <w:rPr>
          <w:rFonts w:ascii="Arial" w:hAnsi="Arial" w:cs="Arial"/>
          <w:b/>
          <w:kern w:val="0"/>
          <w:szCs w:val="21"/>
        </w:rPr>
        <w:t>3</w:t>
      </w:r>
      <w:r>
        <w:rPr>
          <w:rFonts w:ascii="Arial" w:hAnsi="宋体" w:cs="Arial"/>
          <w:b/>
          <w:kern w:val="0"/>
          <w:szCs w:val="21"/>
        </w:rPr>
        <w:t>）不具备招标文件中规定资格要求的；</w:t>
      </w:r>
    </w:p>
    <w:p>
      <w:pPr>
        <w:widowControl/>
        <w:shd w:val="clear" w:color="auto" w:fill="FFFFFF"/>
        <w:spacing w:line="360" w:lineRule="auto"/>
        <w:ind w:firstLine="420"/>
        <w:jc w:val="left"/>
        <w:rPr>
          <w:rFonts w:ascii="Arial" w:hAnsi="Arial" w:cs="Arial"/>
          <w:b/>
          <w:kern w:val="0"/>
          <w:szCs w:val="21"/>
        </w:rPr>
      </w:pPr>
      <w:r>
        <w:rPr>
          <w:rFonts w:ascii="Arial" w:hAnsi="宋体" w:cs="Arial"/>
          <w:b/>
          <w:kern w:val="0"/>
          <w:szCs w:val="21"/>
        </w:rPr>
        <w:t>（</w:t>
      </w:r>
      <w:r>
        <w:rPr>
          <w:rFonts w:ascii="Arial" w:hAnsi="Arial" w:cs="Arial"/>
          <w:b/>
          <w:kern w:val="0"/>
          <w:szCs w:val="21"/>
        </w:rPr>
        <w:t>4</w:t>
      </w:r>
      <w:r>
        <w:rPr>
          <w:rFonts w:ascii="Arial" w:hAnsi="宋体" w:cs="Arial"/>
          <w:b/>
          <w:kern w:val="0"/>
          <w:szCs w:val="21"/>
        </w:rPr>
        <w:t>）报价超过招标文件中规定的预算金额或者最高限价的；</w:t>
      </w:r>
    </w:p>
    <w:p>
      <w:pPr>
        <w:widowControl/>
        <w:shd w:val="clear" w:color="auto" w:fill="FFFFFF"/>
        <w:spacing w:line="360" w:lineRule="auto"/>
        <w:ind w:firstLine="420"/>
        <w:jc w:val="left"/>
        <w:rPr>
          <w:rFonts w:ascii="Arial" w:hAnsi="Arial" w:cs="Arial"/>
          <w:b/>
          <w:kern w:val="0"/>
          <w:szCs w:val="21"/>
        </w:rPr>
      </w:pPr>
      <w:r>
        <w:rPr>
          <w:rFonts w:ascii="Arial" w:hAnsi="宋体" w:cs="Arial"/>
          <w:b/>
          <w:kern w:val="0"/>
          <w:szCs w:val="21"/>
        </w:rPr>
        <w:t>（</w:t>
      </w:r>
      <w:r>
        <w:rPr>
          <w:rFonts w:ascii="Arial" w:hAnsi="Arial" w:cs="Arial"/>
          <w:b/>
          <w:kern w:val="0"/>
          <w:szCs w:val="21"/>
        </w:rPr>
        <w:t>5</w:t>
      </w:r>
      <w:r>
        <w:rPr>
          <w:rFonts w:ascii="Arial" w:hAnsi="宋体" w:cs="Arial"/>
          <w:b/>
          <w:kern w:val="0"/>
          <w:szCs w:val="21"/>
        </w:rPr>
        <w:t>）投标文件含有采购人不能接受的附加条件的；</w:t>
      </w:r>
    </w:p>
    <w:p>
      <w:pPr>
        <w:widowControl/>
        <w:shd w:val="clear" w:color="auto" w:fill="FFFFFF"/>
        <w:spacing w:line="360" w:lineRule="auto"/>
        <w:ind w:firstLine="420"/>
        <w:jc w:val="left"/>
        <w:rPr>
          <w:rFonts w:ascii="Arial" w:hAnsi="宋体" w:cs="Arial"/>
          <w:b/>
          <w:kern w:val="0"/>
          <w:szCs w:val="21"/>
        </w:rPr>
      </w:pPr>
      <w:r>
        <w:rPr>
          <w:rFonts w:ascii="Arial" w:hAnsi="宋体" w:cs="Arial"/>
          <w:b/>
          <w:kern w:val="0"/>
          <w:szCs w:val="21"/>
        </w:rPr>
        <w:t>（</w:t>
      </w:r>
      <w:r>
        <w:rPr>
          <w:rFonts w:hint="eastAsia" w:ascii="Arial" w:hAnsi="Arial" w:cs="Arial"/>
          <w:b/>
          <w:kern w:val="0"/>
          <w:szCs w:val="21"/>
        </w:rPr>
        <w:t>6</w:t>
      </w:r>
      <w:r>
        <w:rPr>
          <w:rFonts w:ascii="Arial" w:hAnsi="宋体" w:cs="Arial"/>
          <w:b/>
          <w:kern w:val="0"/>
          <w:szCs w:val="21"/>
        </w:rPr>
        <w:t>）投标文件内容不全或不符合招标文件中规定的其它实质性要求的</w:t>
      </w:r>
      <w:r>
        <w:rPr>
          <w:rFonts w:hint="eastAsia" w:ascii="Arial" w:hAnsi="宋体" w:cs="Arial"/>
          <w:b/>
          <w:kern w:val="0"/>
          <w:szCs w:val="21"/>
        </w:rPr>
        <w:t>；</w:t>
      </w:r>
    </w:p>
    <w:p>
      <w:pPr>
        <w:widowControl/>
        <w:shd w:val="clear" w:color="auto" w:fill="FFFFFF"/>
        <w:spacing w:line="360" w:lineRule="auto"/>
        <w:ind w:firstLine="420"/>
        <w:rPr>
          <w:rFonts w:ascii="Arial" w:hAnsi="宋体" w:cs="Arial"/>
          <w:b/>
          <w:kern w:val="0"/>
          <w:szCs w:val="21"/>
        </w:rPr>
      </w:pPr>
      <w:r>
        <w:rPr>
          <w:rFonts w:ascii="Arial" w:hAnsi="宋体" w:cs="Arial"/>
          <w:b/>
          <w:kern w:val="0"/>
          <w:szCs w:val="21"/>
        </w:rPr>
        <w:t>（</w:t>
      </w:r>
      <w:r>
        <w:rPr>
          <w:rFonts w:hint="eastAsia" w:ascii="Arial" w:hAnsi="Arial" w:cs="Arial"/>
          <w:b/>
          <w:kern w:val="0"/>
          <w:szCs w:val="21"/>
        </w:rPr>
        <w:t>7</w:t>
      </w:r>
      <w:r>
        <w:rPr>
          <w:rFonts w:ascii="Arial" w:hAnsi="宋体" w:cs="Arial"/>
          <w:b/>
          <w:kern w:val="0"/>
          <w:szCs w:val="21"/>
        </w:rPr>
        <w:t>）现行法律、法规</w:t>
      </w:r>
      <w:r>
        <w:rPr>
          <w:rFonts w:hint="eastAsia" w:ascii="Arial" w:hAnsi="宋体" w:cs="Arial"/>
          <w:b/>
          <w:kern w:val="0"/>
          <w:szCs w:val="21"/>
        </w:rPr>
        <w:t>、</w:t>
      </w:r>
      <w:r>
        <w:rPr>
          <w:rFonts w:ascii="Arial" w:hAnsi="宋体" w:cs="Arial"/>
          <w:b/>
          <w:kern w:val="0"/>
          <w:szCs w:val="21"/>
        </w:rPr>
        <w:t>规章和招标文件规定的其他无效情形。</w:t>
      </w:r>
    </w:p>
    <w:p>
      <w:pPr>
        <w:widowControl/>
        <w:shd w:val="clear" w:color="auto" w:fill="FFFFFF"/>
        <w:spacing w:line="360" w:lineRule="auto"/>
        <w:ind w:firstLine="420"/>
        <w:rPr>
          <w:rFonts w:ascii="Arial" w:hAnsi="Arial" w:cs="Arial"/>
          <w:b/>
          <w:bCs/>
          <w:kern w:val="0"/>
          <w:szCs w:val="21"/>
        </w:rPr>
      </w:pPr>
      <w:r>
        <w:rPr>
          <w:rFonts w:ascii="Arial" w:hAnsi="Arial" w:cs="Arial"/>
          <w:b/>
          <w:bCs/>
          <w:kern w:val="0"/>
          <w:szCs w:val="21"/>
        </w:rPr>
        <w:t xml:space="preserve">22.2.2.1 </w:t>
      </w:r>
      <w:r>
        <w:rPr>
          <w:rFonts w:ascii="Arial" w:hAnsi="宋体" w:cs="Arial"/>
          <w:b/>
          <w:bCs/>
          <w:kern w:val="0"/>
          <w:szCs w:val="21"/>
        </w:rPr>
        <w:t>实质性要求是指本招标文件中用带星号（</w:t>
      </w:r>
      <w:r>
        <w:rPr>
          <w:rFonts w:ascii="Arial" w:hAnsi="Arial" w:cs="Arial"/>
          <w:b/>
          <w:bCs/>
          <w:kern w:val="0"/>
          <w:szCs w:val="21"/>
        </w:rPr>
        <w:t>“</w:t>
      </w:r>
      <w:r>
        <w:rPr>
          <w:rFonts w:ascii="Arial" w:hAnsi="Arial" w:cs="Arial"/>
          <w:b/>
          <w:bCs/>
        </w:rPr>
        <w:t>*</w:t>
      </w:r>
      <w:r>
        <w:rPr>
          <w:rFonts w:ascii="Arial" w:hAnsi="Arial" w:cs="Arial"/>
          <w:b/>
          <w:bCs/>
          <w:kern w:val="0"/>
          <w:szCs w:val="21"/>
        </w:rPr>
        <w:t>”</w:t>
      </w:r>
      <w:r>
        <w:rPr>
          <w:rFonts w:ascii="Arial" w:hAnsi="宋体" w:cs="Arial"/>
          <w:b/>
          <w:bCs/>
          <w:kern w:val="0"/>
          <w:szCs w:val="21"/>
        </w:rPr>
        <w:t>）、</w:t>
      </w:r>
      <w:r>
        <w:rPr>
          <w:rFonts w:ascii="Arial" w:hAnsi="Arial" w:cs="Arial"/>
          <w:b/>
          <w:bCs/>
          <w:kern w:val="0"/>
          <w:szCs w:val="21"/>
        </w:rPr>
        <w:t>“</w:t>
      </w:r>
      <w:r>
        <w:rPr>
          <w:rFonts w:ascii="Arial" w:hAnsi="宋体" w:cs="Arial"/>
          <w:b/>
          <w:bCs/>
          <w:kern w:val="0"/>
          <w:szCs w:val="21"/>
        </w:rPr>
        <w:t>必须</w:t>
      </w:r>
      <w:r>
        <w:rPr>
          <w:rFonts w:ascii="Arial" w:hAnsi="Arial" w:cs="Arial"/>
          <w:b/>
          <w:bCs/>
          <w:kern w:val="0"/>
          <w:szCs w:val="21"/>
        </w:rPr>
        <w:t>”</w:t>
      </w:r>
      <w:r>
        <w:rPr>
          <w:rFonts w:ascii="Arial" w:hAnsi="宋体" w:cs="Arial"/>
          <w:b/>
          <w:bCs/>
          <w:kern w:val="0"/>
          <w:szCs w:val="21"/>
        </w:rPr>
        <w:t>或</w:t>
      </w:r>
      <w:r>
        <w:rPr>
          <w:rFonts w:ascii="Arial" w:hAnsi="Arial" w:cs="Arial"/>
          <w:b/>
          <w:bCs/>
          <w:kern w:val="0"/>
          <w:szCs w:val="21"/>
        </w:rPr>
        <w:t>“</w:t>
      </w:r>
      <w:r>
        <w:rPr>
          <w:rFonts w:ascii="Arial" w:hAnsi="宋体" w:cs="Arial"/>
          <w:b/>
          <w:bCs/>
          <w:kern w:val="0"/>
          <w:szCs w:val="21"/>
        </w:rPr>
        <w:t>应（应当）</w:t>
      </w:r>
      <w:r>
        <w:rPr>
          <w:rFonts w:ascii="Arial" w:hAnsi="Arial" w:cs="Arial"/>
          <w:b/>
          <w:bCs/>
          <w:kern w:val="0"/>
          <w:szCs w:val="21"/>
        </w:rPr>
        <w:t>”</w:t>
      </w:r>
      <w:r>
        <w:rPr>
          <w:rFonts w:ascii="Arial" w:hAnsi="宋体" w:cs="Arial"/>
          <w:b/>
          <w:bCs/>
          <w:kern w:val="0"/>
          <w:szCs w:val="21"/>
        </w:rPr>
        <w:t>等其他文字说明的商务和技术要求。</w:t>
      </w:r>
    </w:p>
    <w:p>
      <w:pPr>
        <w:widowControl/>
        <w:shd w:val="clear" w:color="auto" w:fill="FFFFFF"/>
        <w:spacing w:line="360" w:lineRule="auto"/>
        <w:ind w:firstLine="420"/>
        <w:jc w:val="left"/>
        <w:rPr>
          <w:rFonts w:ascii="Arial" w:hAnsi="Arial" w:cs="Arial"/>
          <w:b/>
          <w:kern w:val="0"/>
          <w:szCs w:val="21"/>
        </w:rPr>
      </w:pPr>
      <w:r>
        <w:rPr>
          <w:rFonts w:ascii="Arial" w:hAnsi="Arial" w:cs="Arial"/>
          <w:b/>
          <w:kern w:val="0"/>
          <w:szCs w:val="21"/>
        </w:rPr>
        <w:t>22.2.2.2</w:t>
      </w:r>
      <w:r>
        <w:rPr>
          <w:rFonts w:ascii="Arial" w:hAnsi="宋体" w:cs="Arial"/>
          <w:kern w:val="0"/>
          <w:szCs w:val="21"/>
        </w:rPr>
        <w:t>有下列情形之一的予以废标：</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）符合专业条件的投标人或者对招标文件作实质性响应的投标人不足三家的；</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）出现影响采购公正的违法、违规行为的；</w:t>
      </w:r>
    </w:p>
    <w:p>
      <w:pPr>
        <w:widowControl/>
        <w:shd w:val="clear" w:color="auto" w:fill="FFFFFF"/>
        <w:spacing w:line="360" w:lineRule="auto"/>
        <w:ind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）投标人的报价均超过了采购预算，采购人不能支付的；</w:t>
      </w:r>
    </w:p>
    <w:p>
      <w:pPr>
        <w:widowControl/>
        <w:shd w:val="clear" w:color="auto" w:fill="FFFFFF"/>
        <w:spacing w:line="360" w:lineRule="auto"/>
        <w:ind w:firstLine="420"/>
        <w:jc w:val="left"/>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）因重大变故，采购任务取消的。</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22.2.3</w:t>
      </w:r>
      <w:r>
        <w:rPr>
          <w:rFonts w:ascii="Arial" w:hAnsi="宋体" w:cs="Arial"/>
          <w:b/>
          <w:bCs/>
          <w:kern w:val="0"/>
          <w:szCs w:val="21"/>
        </w:rPr>
        <w:t>澄清有关问题</w:t>
      </w:r>
      <w:r>
        <w:rPr>
          <w:rFonts w:ascii="Arial" w:hAnsi="宋体" w:cs="Arial"/>
          <w:kern w:val="0"/>
          <w:szCs w:val="21"/>
        </w:rPr>
        <w:t>。</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22.2.3.1</w:t>
      </w:r>
      <w:r>
        <w:rPr>
          <w:rFonts w:ascii="Arial" w:hAnsi="宋体" w:cs="Arial"/>
          <w:kern w:val="0"/>
          <w:szCs w:val="21"/>
        </w:rPr>
        <w:t>对于投标文件中含义不明确、同类问题表述不一致或者有明显文字和计算错误的内容，评标委员会应当以书面形式要求投标人作出必要的澄清、说明或者补正。</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22.2.3.2</w:t>
      </w:r>
      <w:r>
        <w:rPr>
          <w:rFonts w:ascii="Arial" w:hAnsi="宋体" w:cs="Arial"/>
          <w:kern w:val="0"/>
          <w:szCs w:val="21"/>
        </w:rPr>
        <w:t>投标人的澄清、说明或者补正应当采用书面形式，并加盖公章，或者由法定代表人或其授权代表签字。投标人的澄清、说明或者补正不得超出投标文件的范围或者改变投标文件的实质性内容。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22.2.3.3</w:t>
      </w:r>
      <w:r>
        <w:rPr>
          <w:rFonts w:ascii="Arial" w:hAnsi="宋体" w:cs="Arial"/>
          <w:kern w:val="0"/>
          <w:szCs w:val="21"/>
        </w:rPr>
        <w:t>投标文件报价出现前后不一致的，除招标文件另有规定外，按照下列规定修正：</w:t>
      </w:r>
    </w:p>
    <w:p>
      <w:pPr>
        <w:widowControl/>
        <w:shd w:val="clear" w:color="auto" w:fill="FFFFFF"/>
        <w:spacing w:line="360" w:lineRule="auto"/>
        <w:ind w:firstLine="420"/>
        <w:rPr>
          <w:rFonts w:ascii="Arial" w:hAnsi="Arial" w:cs="Arial"/>
          <w:kern w:val="0"/>
          <w:szCs w:val="21"/>
        </w:rPr>
      </w:pPr>
      <w:r>
        <w:rPr>
          <w:rFonts w:hint="eastAsia" w:ascii="Arial" w:hAnsi="Arial" w:cs="Arial"/>
          <w:kern w:val="0"/>
          <w:szCs w:val="21"/>
        </w:rPr>
        <w:t>（</w:t>
      </w:r>
      <w:r>
        <w:rPr>
          <w:rFonts w:ascii="Arial" w:hAnsi="Arial" w:cs="Arial"/>
          <w:kern w:val="0"/>
          <w:szCs w:val="21"/>
        </w:rPr>
        <w:t>1</w:t>
      </w:r>
      <w:r>
        <w:rPr>
          <w:rFonts w:hint="eastAsia" w:ascii="Arial" w:hAnsi="Arial" w:cs="Arial"/>
          <w:kern w:val="0"/>
          <w:szCs w:val="21"/>
        </w:rPr>
        <w:t>）</w:t>
      </w:r>
      <w:r>
        <w:rPr>
          <w:rFonts w:ascii="Arial" w:hAnsi="宋体" w:cs="Arial"/>
          <w:kern w:val="0"/>
          <w:szCs w:val="21"/>
        </w:rPr>
        <w:t>投标文件中开标一览表（报价表）内容与投标文件中相应内容不一致的，以开标一览表（报价表）为准；</w:t>
      </w:r>
    </w:p>
    <w:p>
      <w:pPr>
        <w:widowControl/>
        <w:shd w:val="clear" w:color="auto" w:fill="FFFFFF"/>
        <w:spacing w:line="360" w:lineRule="auto"/>
        <w:ind w:firstLine="420"/>
        <w:rPr>
          <w:rFonts w:ascii="Arial" w:hAnsi="Arial" w:cs="Arial"/>
          <w:kern w:val="0"/>
          <w:szCs w:val="21"/>
        </w:rPr>
      </w:pPr>
      <w:r>
        <w:rPr>
          <w:rFonts w:hint="eastAsia" w:ascii="Arial" w:hAnsi="Arial" w:cs="Arial"/>
          <w:kern w:val="0"/>
          <w:szCs w:val="21"/>
        </w:rPr>
        <w:t>（2）</w:t>
      </w:r>
      <w:r>
        <w:rPr>
          <w:rFonts w:ascii="Arial" w:hAnsi="宋体" w:cs="Arial"/>
          <w:kern w:val="0"/>
          <w:szCs w:val="21"/>
        </w:rPr>
        <w:t>大写金额和小写金额不一致的，以大写金额为准；</w:t>
      </w:r>
    </w:p>
    <w:p>
      <w:pPr>
        <w:widowControl/>
        <w:shd w:val="clear" w:color="auto" w:fill="FFFFFF"/>
        <w:spacing w:line="360" w:lineRule="auto"/>
        <w:ind w:firstLine="420"/>
        <w:rPr>
          <w:rFonts w:ascii="Arial" w:hAnsi="Arial" w:cs="Arial"/>
          <w:kern w:val="0"/>
          <w:szCs w:val="21"/>
        </w:rPr>
      </w:pPr>
      <w:r>
        <w:rPr>
          <w:rFonts w:hint="eastAsia" w:ascii="Arial" w:hAnsi="Arial" w:cs="Arial"/>
          <w:kern w:val="0"/>
          <w:szCs w:val="21"/>
        </w:rPr>
        <w:t>（3）</w:t>
      </w:r>
      <w:r>
        <w:rPr>
          <w:rFonts w:ascii="Arial" w:hAnsi="宋体" w:cs="Arial"/>
          <w:kern w:val="0"/>
          <w:szCs w:val="21"/>
        </w:rPr>
        <w:t>单价金额小数点或者百分比有明显错位的，以开标一览表的总价为准，并修改单价；</w:t>
      </w:r>
    </w:p>
    <w:p>
      <w:pPr>
        <w:widowControl/>
        <w:shd w:val="clear" w:color="auto" w:fill="FFFFFF"/>
        <w:spacing w:line="360" w:lineRule="auto"/>
        <w:ind w:firstLine="420"/>
        <w:rPr>
          <w:rFonts w:ascii="Arial" w:hAnsi="Arial" w:cs="Arial"/>
          <w:kern w:val="0"/>
          <w:szCs w:val="21"/>
        </w:rPr>
      </w:pPr>
      <w:r>
        <w:rPr>
          <w:rFonts w:hint="eastAsia" w:ascii="Arial" w:hAnsi="Arial" w:cs="Arial"/>
          <w:kern w:val="0"/>
          <w:szCs w:val="21"/>
        </w:rPr>
        <w:t>（4）</w:t>
      </w:r>
      <w:r>
        <w:rPr>
          <w:rFonts w:ascii="Arial" w:hAnsi="宋体" w:cs="Arial"/>
          <w:kern w:val="0"/>
          <w:szCs w:val="21"/>
        </w:rPr>
        <w:t>总价金额与按单价汇总金额不一致的，以单价金额计算结果为准。</w:t>
      </w:r>
    </w:p>
    <w:p>
      <w:pPr>
        <w:widowControl/>
        <w:shd w:val="clear" w:color="auto" w:fill="FFFFFF"/>
        <w:spacing w:line="360" w:lineRule="auto"/>
        <w:ind w:firstLine="420"/>
        <w:rPr>
          <w:rFonts w:ascii="Arial" w:hAnsi="Arial" w:cs="Arial"/>
          <w:b/>
          <w:kern w:val="0"/>
          <w:szCs w:val="21"/>
        </w:rPr>
      </w:pPr>
      <w:r>
        <w:rPr>
          <w:rFonts w:ascii="Arial" w:hAnsi="宋体" w:cs="Arial"/>
          <w:kern w:val="0"/>
          <w:szCs w:val="21"/>
        </w:rPr>
        <w:t>同时出现两种以上不一致的，按照前款规定的顺序修正。</w:t>
      </w:r>
      <w:r>
        <w:rPr>
          <w:rFonts w:ascii="Arial" w:hAnsi="宋体" w:cs="Arial"/>
          <w:b/>
          <w:kern w:val="0"/>
          <w:szCs w:val="21"/>
        </w:rPr>
        <w:t>修正后的报价按照前款规定经投标人确认后产生约束力，投标人不确认的，其投标无效。</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22.2.3.4</w:t>
      </w:r>
      <w:r>
        <w:rPr>
          <w:rFonts w:ascii="Arial" w:hAnsi="宋体" w:cs="Arial"/>
        </w:rPr>
        <w:t>评标委员会认为投标人的报价明显低于其他通过符合性审查投标人的报价，有可能影响产品质量或者不能诚信履约的，将要求其在评标现场合理的时间内提供书面说明，必要时提交相关证明材料；</w:t>
      </w:r>
      <w:r>
        <w:rPr>
          <w:rFonts w:ascii="Arial" w:hAnsi="宋体" w:cs="Arial"/>
          <w:b/>
        </w:rPr>
        <w:t>投标人不能证明其报价合理性的，评标委员会将其作为无效投标处理。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22.2.4</w:t>
      </w:r>
      <w:r>
        <w:rPr>
          <w:rFonts w:ascii="Arial" w:hAnsi="宋体" w:cs="Arial"/>
          <w:bCs/>
          <w:kern w:val="0"/>
          <w:szCs w:val="21"/>
        </w:rPr>
        <w:t>比较与评价。</w:t>
      </w:r>
      <w:r>
        <w:rPr>
          <w:rFonts w:ascii="Arial" w:hAnsi="宋体" w:cs="Arial"/>
          <w:kern w:val="0"/>
          <w:szCs w:val="21"/>
        </w:rPr>
        <w:t>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ascii="Arial" w:hAnsi="Arial" w:cs="Arial"/>
        </w:rPr>
      </w:pPr>
      <w:r>
        <w:rPr>
          <w:rFonts w:ascii="Arial" w:hAnsi="Arial" w:cs="Arial"/>
          <w:kern w:val="0"/>
          <w:szCs w:val="21"/>
        </w:rPr>
        <w:t>22.2.5</w:t>
      </w:r>
      <w:r>
        <w:rPr>
          <w:rFonts w:ascii="Arial" w:hAnsi="宋体" w:cs="Arial"/>
        </w:rPr>
        <w:t>相同品牌产品的投标</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非单一产品采购项目，确定核心产品的方法在招标文件技术需求中载明。多家投标人提供的核心产品品牌相同的，按前两款规定处理。</w:t>
      </w:r>
    </w:p>
    <w:p>
      <w:pPr>
        <w:widowControl/>
        <w:shd w:val="clear" w:color="auto" w:fill="FFFFFF"/>
        <w:spacing w:line="360" w:lineRule="auto"/>
        <w:ind w:firstLine="420"/>
        <w:jc w:val="left"/>
        <w:rPr>
          <w:rFonts w:ascii="Arial" w:hAnsi="Arial" w:cs="Arial"/>
          <w:kern w:val="0"/>
          <w:szCs w:val="21"/>
        </w:rPr>
      </w:pPr>
      <w:r>
        <w:rPr>
          <w:rFonts w:ascii="Arial" w:hAnsi="Arial" w:cs="Arial"/>
          <w:b/>
          <w:bCs/>
          <w:kern w:val="0"/>
          <w:szCs w:val="21"/>
        </w:rPr>
        <w:t xml:space="preserve">22.3 </w:t>
      </w:r>
      <w:r>
        <w:rPr>
          <w:rFonts w:ascii="Arial" w:hAnsi="宋体" w:cs="Arial"/>
          <w:b/>
          <w:bCs/>
          <w:kern w:val="0"/>
          <w:szCs w:val="21"/>
        </w:rPr>
        <w:t>评标方法和标准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22.3.1评标方法分为最低评标价法和综合评分法。本次招标的评标方法和标准，详见本招标文件第三章。</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22.3.2最低评标价法，是指投标文件满足招标文件全部实质性要求，且投标报价最低的投标人为中标候选人的评标方法。</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采用最低评标价法评标时，除了算术修正和落实政府采购政策需进行的价格扣除外，不对投标人的投标价格进行任何调整。</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22.3.3综合评分法，是指投标文件满足招标文件全部实质性要求，且按照评审因素的量化指标评审得分最高的投标人为中标候选人的评标方法。</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评审因素，包括价格、技术、商务等。</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评标时，评标委员会各成员应当独立对每个投标人的投标文件进行评价，并汇总每个投标人的得分。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价格分采用低价优先法计算，即满足招标文件要求且投标价格最低的投标报价为评标基准价，其价格分为满分。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评标总得分＝F1×A1＋F2×A2＋……＋Fn×An</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F1、F2……Fn分别为各项评审因素的得分；</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A1、A2、……An 分别为各项评审因素所占的权重(A1＋A2＋……＋An＝1)。</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因落实政府采购政策进行价格调整的，以调整后的价格计算评标基准价和投标报价。</w:t>
      </w:r>
    </w:p>
    <w:p>
      <w:pPr>
        <w:widowControl/>
        <w:shd w:val="clear" w:color="auto" w:fill="FFFFFF"/>
        <w:spacing w:line="360" w:lineRule="auto"/>
        <w:ind w:firstLine="420"/>
        <w:rPr>
          <w:rFonts w:ascii="Arial" w:hAnsi="Arial" w:cs="Arial"/>
          <w:b/>
          <w:kern w:val="0"/>
          <w:szCs w:val="21"/>
        </w:rPr>
      </w:pPr>
      <w:r>
        <w:rPr>
          <w:rFonts w:ascii="Arial" w:hAnsi="Arial" w:cs="Arial"/>
          <w:b/>
          <w:bCs/>
          <w:kern w:val="0"/>
          <w:szCs w:val="21"/>
        </w:rPr>
        <w:t>23、</w:t>
      </w:r>
      <w:r>
        <w:rPr>
          <w:rFonts w:ascii="Arial" w:hAnsi="Arial" w:cs="Arial"/>
          <w:b/>
          <w:kern w:val="0"/>
          <w:szCs w:val="21"/>
        </w:rPr>
        <w:t>确定中标人</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23.1 采用最低评标价法的，评标结果按投标报价由低到高顺序排列。投标报价相同的并列。投标文件满足招标文件全部实质性要求且投标报价最低的投标人为排名第一的中标候选人。</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23.3 中标人确定后，在省级以上财政部门指定的媒体上公告中标结果，中标公告期为1个工作日，公告的同时向中标人发出中标通知书。</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23.4 中标通知书对</w:t>
      </w:r>
      <w:r>
        <w:rPr>
          <w:rFonts w:hint="eastAsia" w:ascii="Arial" w:hAnsi="Arial" w:cs="Arial"/>
          <w:kern w:val="0"/>
          <w:szCs w:val="21"/>
        </w:rPr>
        <w:t>招标</w:t>
      </w:r>
      <w:r>
        <w:rPr>
          <w:rFonts w:ascii="Arial" w:hAnsi="Arial" w:cs="Arial"/>
          <w:kern w:val="0"/>
          <w:szCs w:val="21"/>
        </w:rPr>
        <w:t>人和中标人具有同等法律效力。</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23.5 中标通知书发出后，</w:t>
      </w:r>
      <w:r>
        <w:rPr>
          <w:rFonts w:hint="eastAsia" w:ascii="Arial" w:hAnsi="Arial" w:cs="Arial"/>
          <w:kern w:val="0"/>
          <w:szCs w:val="21"/>
        </w:rPr>
        <w:t>招标</w:t>
      </w:r>
      <w:r>
        <w:rPr>
          <w:rFonts w:ascii="Arial" w:hAnsi="Arial" w:cs="Arial"/>
          <w:kern w:val="0"/>
          <w:szCs w:val="21"/>
        </w:rPr>
        <w:t>人或中标人拒绝签订合同的，拒绝签订合同的一方应至少向另一方支付与投标保证金相等的补偿金，以及为招标、投标所发生的有关费用和双方商定的其他补偿。</w:t>
      </w:r>
    </w:p>
    <w:p>
      <w:pPr>
        <w:widowControl/>
        <w:shd w:val="clear" w:color="auto" w:fill="FFFFFF"/>
        <w:spacing w:line="360" w:lineRule="auto"/>
        <w:ind w:firstLine="420"/>
        <w:rPr>
          <w:rFonts w:ascii="Arial" w:hAnsi="Arial" w:cs="Arial"/>
          <w:b/>
          <w:kern w:val="0"/>
          <w:szCs w:val="21"/>
        </w:rPr>
      </w:pPr>
      <w:r>
        <w:rPr>
          <w:rFonts w:ascii="Arial" w:hAnsi="Arial" w:cs="Arial"/>
          <w:b/>
          <w:kern w:val="0"/>
          <w:szCs w:val="21"/>
        </w:rPr>
        <w:t>23.6 中标通知书发出后，中标人无正当理由不与</w:t>
      </w:r>
      <w:r>
        <w:rPr>
          <w:rFonts w:hint="eastAsia" w:ascii="Arial" w:hAnsi="Arial" w:cs="Arial"/>
          <w:b/>
          <w:kern w:val="0"/>
          <w:szCs w:val="21"/>
        </w:rPr>
        <w:t>招标</w:t>
      </w:r>
      <w:r>
        <w:rPr>
          <w:rFonts w:ascii="Arial" w:hAnsi="Arial" w:cs="Arial"/>
          <w:b/>
          <w:kern w:val="0"/>
          <w:szCs w:val="21"/>
        </w:rPr>
        <w:t>人签订合同的，投标保证金不予退还；情节严重的，由财政部门将其列入不良行为记录名单，在一至三年内禁止参加政府采购活动，并予以通报。</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23.7 所有投标文件不论中标与否，均不退回。</w:t>
      </w:r>
    </w:p>
    <w:p>
      <w:pPr>
        <w:widowControl/>
        <w:shd w:val="clear" w:color="auto" w:fill="FFFFFF"/>
        <w:spacing w:line="360" w:lineRule="auto"/>
        <w:ind w:firstLine="412"/>
        <w:rPr>
          <w:rFonts w:ascii="Arial" w:hAnsi="Arial" w:cs="Arial"/>
          <w:kern w:val="0"/>
          <w:szCs w:val="21"/>
        </w:rPr>
      </w:pPr>
      <w:r>
        <w:rPr>
          <w:rFonts w:ascii="Arial" w:hAnsi="Arial" w:cs="Arial"/>
          <w:b/>
          <w:bCs/>
          <w:kern w:val="0"/>
          <w:szCs w:val="21"/>
        </w:rPr>
        <w:t>24、编写评标报告</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24.1评标委员会根据全体评标成员签字的原始评标记录和评标结果编写评标报告。</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25、评标过程的保密性</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25.1 </w:t>
      </w:r>
      <w:r>
        <w:rPr>
          <w:rFonts w:hint="eastAsia" w:ascii="Arial" w:hAnsi="Arial" w:cs="Arial"/>
          <w:kern w:val="0"/>
          <w:szCs w:val="21"/>
        </w:rPr>
        <w:t>招标</w:t>
      </w:r>
      <w:r>
        <w:rPr>
          <w:rFonts w:ascii="Arial" w:hAnsi="Arial" w:cs="Arial"/>
          <w:kern w:val="0"/>
          <w:szCs w:val="21"/>
        </w:rPr>
        <w:t>人和</w:t>
      </w:r>
      <w:r>
        <w:rPr>
          <w:rFonts w:hint="eastAsia" w:ascii="Arial" w:hAnsi="Arial" w:cs="Arial"/>
          <w:kern w:val="0"/>
          <w:szCs w:val="21"/>
        </w:rPr>
        <w:t>招标</w:t>
      </w:r>
      <w:r>
        <w:rPr>
          <w:rFonts w:ascii="Arial" w:hAnsi="Arial" w:cs="Arial"/>
          <w:kern w:val="0"/>
          <w:szCs w:val="21"/>
        </w:rPr>
        <w:t>代理机构将采取必要措施，保证评标在严格保密的情况下进行。</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25.2 任何单位和个人不得非法干预、影响评标办法的确定，以及评标过程和结果。</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25.3 凡是与审查、澄清、评价和比较投标的有关资料等，均不向投标人及与评标无关的其他人员透露。</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六、签订合同</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26、签订合同</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26.1</w:t>
      </w:r>
      <w:r>
        <w:rPr>
          <w:rFonts w:hint="eastAsia" w:ascii="Arial" w:hAnsi="Arial" w:cs="Arial"/>
          <w:kern w:val="0"/>
          <w:szCs w:val="21"/>
        </w:rPr>
        <w:t>招标</w:t>
      </w:r>
      <w:r>
        <w:rPr>
          <w:rFonts w:ascii="Arial" w:hAnsi="Arial" w:cs="Arial"/>
          <w:kern w:val="0"/>
          <w:szCs w:val="21"/>
        </w:rPr>
        <w:t>人与中标人应当自中标通知书发出之日起30日内，按照招标文件和中标人投标文件的规定，签订书面合同。所签订的合同不得对招标文件确定的事项和中标人投标文件作实质性修改。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26.2</w:t>
      </w:r>
      <w:r>
        <w:rPr>
          <w:rFonts w:hint="eastAsia" w:ascii="Arial" w:hAnsi="Arial" w:cs="Arial"/>
          <w:kern w:val="0"/>
          <w:szCs w:val="21"/>
        </w:rPr>
        <w:t>招标</w:t>
      </w:r>
      <w:r>
        <w:rPr>
          <w:rFonts w:ascii="Arial" w:hAnsi="Arial" w:cs="Arial"/>
          <w:kern w:val="0"/>
          <w:szCs w:val="21"/>
        </w:rPr>
        <w:t>人不得向中标人提出任何不合理的要求作为签订合同的条件。</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26.3中标人拒绝与采购人签订合同的，</w:t>
      </w:r>
      <w:r>
        <w:rPr>
          <w:rFonts w:hint="eastAsia" w:ascii="Arial" w:hAnsi="Arial" w:cs="Arial"/>
          <w:kern w:val="0"/>
          <w:szCs w:val="21"/>
        </w:rPr>
        <w:t>招标</w:t>
      </w:r>
      <w:r>
        <w:rPr>
          <w:rFonts w:ascii="Arial" w:hAnsi="Arial" w:cs="Arial"/>
          <w:kern w:val="0"/>
          <w:szCs w:val="21"/>
        </w:rPr>
        <w:t>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26.4 政府采购合同履行中，</w:t>
      </w:r>
      <w:r>
        <w:rPr>
          <w:rFonts w:hint="eastAsia" w:ascii="Arial" w:hAnsi="Arial" w:cs="Arial"/>
          <w:kern w:val="0"/>
          <w:szCs w:val="21"/>
        </w:rPr>
        <w:t>招标</w:t>
      </w:r>
      <w:r>
        <w:rPr>
          <w:rFonts w:ascii="Arial" w:hAnsi="Arial" w:cs="Arial"/>
          <w:kern w:val="0"/>
          <w:szCs w:val="21"/>
        </w:rPr>
        <w:t>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xml:space="preserve">26.5 </w:t>
      </w:r>
      <w:r>
        <w:rPr>
          <w:rFonts w:hint="eastAsia" w:ascii="Arial" w:hAnsi="Arial" w:cs="Arial"/>
          <w:kern w:val="0"/>
          <w:szCs w:val="21"/>
        </w:rPr>
        <w:t>招标</w:t>
      </w:r>
      <w:r>
        <w:rPr>
          <w:rFonts w:ascii="Arial" w:hAnsi="Arial" w:cs="Arial"/>
          <w:kern w:val="0"/>
          <w:szCs w:val="21"/>
        </w:rPr>
        <w:t>人与中标人应当根据合同的约定依法履行合同义务。</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七、质疑和投诉</w:t>
      </w:r>
    </w:p>
    <w:p>
      <w:pPr>
        <w:widowControl/>
        <w:shd w:val="clear" w:color="auto" w:fill="FFFFFF"/>
        <w:spacing w:line="360" w:lineRule="auto"/>
        <w:ind w:firstLine="420"/>
        <w:rPr>
          <w:rFonts w:ascii="Arial" w:hAnsi="Arial" w:cs="Arial"/>
          <w:kern w:val="0"/>
          <w:szCs w:val="21"/>
        </w:rPr>
      </w:pPr>
      <w:r>
        <w:rPr>
          <w:rFonts w:ascii="Arial" w:hAnsi="Arial" w:cs="Arial"/>
          <w:b/>
          <w:bCs/>
          <w:kern w:val="0"/>
          <w:szCs w:val="21"/>
        </w:rPr>
        <w:t>27、质疑</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27.1供应商对招标活动事项有疑问的，可以向</w:t>
      </w:r>
      <w:r>
        <w:rPr>
          <w:rFonts w:hint="eastAsia" w:ascii="Arial" w:hAnsi="Arial" w:cs="Arial"/>
          <w:kern w:val="0"/>
          <w:szCs w:val="21"/>
        </w:rPr>
        <w:t>招标</w:t>
      </w:r>
      <w:r>
        <w:rPr>
          <w:rFonts w:ascii="Arial" w:hAnsi="Arial" w:cs="Arial"/>
          <w:kern w:val="0"/>
          <w:szCs w:val="21"/>
        </w:rPr>
        <w:t>代理机构提出询问，</w:t>
      </w:r>
      <w:r>
        <w:rPr>
          <w:rFonts w:hint="eastAsia" w:ascii="Arial" w:hAnsi="Arial" w:cs="Arial"/>
          <w:kern w:val="0"/>
          <w:szCs w:val="21"/>
        </w:rPr>
        <w:t>招标</w:t>
      </w:r>
      <w:r>
        <w:rPr>
          <w:rFonts w:ascii="Arial" w:hAnsi="Arial" w:cs="Arial"/>
          <w:kern w:val="0"/>
          <w:szCs w:val="21"/>
        </w:rPr>
        <w:t>代理机构将依法作出答复，但答复的内容不涉及商业秘密</w:t>
      </w:r>
      <w:r>
        <w:rPr>
          <w:rFonts w:ascii="Arial" w:hAnsi="Arial" w:cs="Arial"/>
          <w:b/>
          <w:bCs/>
          <w:kern w:val="0"/>
          <w:szCs w:val="21"/>
        </w:rPr>
        <w:t>。</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27.2提出质疑的供应商应当是参与所质疑项目采购活动的供应商。潜在供应商已依法获取其可质疑的采购文件的，可以对该文件提出质疑。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Arial" w:hAnsi="Arial" w:cs="Arial"/>
          <w:kern w:val="0"/>
          <w:szCs w:val="21"/>
        </w:rPr>
      </w:pPr>
      <w:r>
        <w:rPr>
          <w:rFonts w:ascii="Arial" w:hAnsi="Arial" w:cs="Arial"/>
          <w:szCs w:val="21"/>
        </w:rPr>
        <w:t>以联合体形式参加政府采购活动的，其质疑应当由组成联合体的所有供应商共同提出。</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27.3供应商认为采购文件、采购过程和中标结果使自己的合法权益受到损害的，可以在知道或者应知其权益受到损害之日起七个工作日内，将质疑文件原件送达采购人或采购代理机构。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供应商应知其权益受到损害之日，是指：对采购文件提出质疑的，应当在获取采购文件或者采购文件公告期限届满之日起7个工作日内提出；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Arial" w:hAnsi="Arial" w:cs="Arial"/>
          <w:kern w:val="0"/>
          <w:szCs w:val="21"/>
        </w:rPr>
      </w:pPr>
      <w:r>
        <w:rPr>
          <w:rFonts w:ascii="Arial" w:hAnsi="Arial" w:cs="Arial"/>
        </w:rPr>
        <w:t>供应商必须在法定质疑期内一次性提出针对同一采购程序环节的质疑。</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27.4 供应商提出质疑应当提交质疑函和必要的证明材料。质疑函应当包括下列内容：</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（一）供应商的姓名或者名称、地址、邮编、联系人及联系电话；</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（二）质疑项目的名称、编号；</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（三）具体、明确的质疑事项和与质疑事项相关的请求（具体条款）；</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（四）事实依据（具体条款）；</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（五）必要的法律依据（具体条款）；</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　　（六）提出质疑的日期。</w:t>
      </w:r>
    </w:p>
    <w:p>
      <w:pPr>
        <w:widowControl/>
        <w:shd w:val="clear" w:color="auto" w:fill="FFFFFF"/>
        <w:spacing w:line="360" w:lineRule="auto"/>
        <w:ind w:firstLine="420"/>
        <w:rPr>
          <w:rFonts w:ascii="Arial" w:hAnsi="Arial" w:cs="Arial"/>
          <w:szCs w:val="21"/>
        </w:rPr>
      </w:pPr>
      <w:r>
        <w:rPr>
          <w:rFonts w:ascii="Arial" w:hAnsi="Arial" w:cs="Arial"/>
          <w:szCs w:val="21"/>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widowControl/>
        <w:shd w:val="clear" w:color="auto" w:fill="FFFFFF"/>
        <w:spacing w:line="360" w:lineRule="auto"/>
        <w:ind w:firstLine="420"/>
        <w:rPr>
          <w:rFonts w:ascii="Arial" w:hAnsi="Arial" w:cs="Arial"/>
          <w:szCs w:val="21"/>
        </w:rPr>
      </w:pPr>
      <w:r>
        <w:rPr>
          <w:rFonts w:ascii="Arial" w:hAnsi="Arial" w:cs="Arial"/>
          <w:szCs w:val="21"/>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27.5质疑函应当现场提交至采购代理机构联系人处，提交时应出示有效身份证明。未按上述要求提交质疑函的，质疑不予受理。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27.7采购代理机构在收到投标人的书面质疑后将及时组织调查核实，在</w:t>
      </w:r>
      <w:r>
        <w:rPr>
          <w:rFonts w:ascii="Arial" w:hAnsi="Arial" w:cs="Arial"/>
          <w:b/>
          <w:bCs/>
          <w:kern w:val="0"/>
          <w:szCs w:val="21"/>
        </w:rPr>
        <w:t>七个工作日内</w:t>
      </w:r>
      <w:r>
        <w:rPr>
          <w:rFonts w:ascii="Arial" w:hAnsi="Arial" w:cs="Arial"/>
          <w:kern w:val="0"/>
          <w:szCs w:val="21"/>
        </w:rPr>
        <w:t>作出答复，并以书面或在网站公告形式通知质疑投标人和其他有关投标人，答复的内容不涉及商业秘密。</w:t>
      </w:r>
    </w:p>
    <w:p>
      <w:pPr>
        <w:widowControl/>
        <w:shd w:val="clear" w:color="auto" w:fill="FFFFFF"/>
        <w:spacing w:line="360" w:lineRule="auto"/>
        <w:ind w:firstLine="420"/>
        <w:rPr>
          <w:rFonts w:ascii="Arial" w:hAnsi="Arial" w:cs="Arial"/>
          <w:kern w:val="0"/>
          <w:szCs w:val="21"/>
        </w:rPr>
      </w:pPr>
      <w:r>
        <w:rPr>
          <w:rFonts w:ascii="Arial" w:hAnsi="Arial" w:cs="Arial"/>
          <w:kern w:val="0"/>
          <w:szCs w:val="21"/>
        </w:rPr>
        <w:t>任何单位和个人对代理机构在招标采购活动中的违法行为，有权控告和检举，联系电话：025-86636139（招标代理机构质量管理部门，联系人：陈葵花）、025-86636853（招标代理机构纪检监察部门，联系人：汪朝阳）。</w:t>
      </w:r>
    </w:p>
    <w:p>
      <w:pPr>
        <w:widowControl/>
        <w:shd w:val="clear" w:color="auto" w:fill="FFFFFF"/>
        <w:spacing w:line="420" w:lineRule="exact"/>
        <w:ind w:firstLine="420"/>
        <w:rPr>
          <w:rFonts w:ascii="Arial" w:hAnsi="Arial" w:cs="Arial"/>
          <w:kern w:val="0"/>
          <w:szCs w:val="21"/>
        </w:rPr>
      </w:pPr>
      <w:r>
        <w:rPr>
          <w:rFonts w:ascii="Arial" w:hAnsi="Arial" w:cs="Arial"/>
          <w:b/>
          <w:bCs/>
          <w:kern w:val="0"/>
          <w:szCs w:val="21"/>
        </w:rPr>
        <w:t>28、投诉</w:t>
      </w:r>
    </w:p>
    <w:p>
      <w:pPr>
        <w:spacing w:line="420" w:lineRule="exact"/>
        <w:ind w:firstLine="420" w:firstLineChars="200"/>
        <w:rPr>
          <w:rFonts w:ascii="Arial" w:hAnsi="Arial" w:cs="Arial"/>
        </w:rPr>
      </w:pPr>
      <w:r>
        <w:rPr>
          <w:rFonts w:ascii="Arial" w:hAnsi="Arial" w:cs="Arial"/>
        </w:rPr>
        <w:t>28.1质疑供应商对采购代理机构的答复不满意或者采购代理机构未在规定的时间内作出答复的，可以在答复期满后十五个工作日内向同级政府采购监督管理部门投诉。</w:t>
      </w:r>
    </w:p>
    <w:p>
      <w:pPr>
        <w:spacing w:line="420" w:lineRule="exact"/>
        <w:ind w:firstLine="420" w:firstLineChars="200"/>
        <w:rPr>
          <w:rFonts w:ascii="Arial" w:hAnsi="Arial" w:cs="Arial"/>
        </w:rPr>
      </w:pPr>
      <w:r>
        <w:rPr>
          <w:rFonts w:ascii="Arial" w:hAnsi="Arial" w:cs="Arial"/>
          <w:szCs w:val="21"/>
        </w:rPr>
        <w:t>28.2供应商投诉应当有明确的请求和必要的证明材料。供应商投诉的事项不得超出已质疑事项的范围。</w:t>
      </w:r>
    </w:p>
    <w:p>
      <w:pPr>
        <w:spacing w:line="420" w:lineRule="exact"/>
        <w:ind w:firstLine="420" w:firstLineChars="200"/>
        <w:rPr>
          <w:rFonts w:ascii="Arial" w:hAnsi="Arial" w:cs="Arial"/>
        </w:rPr>
      </w:pPr>
      <w:r>
        <w:rPr>
          <w:rFonts w:ascii="Arial" w:hAnsi="Arial" w:cs="Arial"/>
          <w:szCs w:val="21"/>
        </w:rPr>
        <w:t>28.3投诉人对政府采购监督管理部门的投诉处理决定不服或者政府采购监督管理部门逾期未作处理的，可以依法申请行政复议或者向人民法院提起行政诉讼。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Arial" w:hAnsi="Arial" w:cs="Arial"/>
          <w:szCs w:val="21"/>
        </w:rPr>
      </w:pPr>
      <w:r>
        <w:rPr>
          <w:rFonts w:ascii="Arial" w:hAnsi="Arial" w:cs="Arial"/>
        </w:rPr>
        <w:t>28.4 投诉人有下列行为之一的，属于严重失信行为，</w:t>
      </w:r>
      <w:r>
        <w:rPr>
          <w:rFonts w:ascii="Arial" w:hAnsi="Arial" w:cs="Arial"/>
          <w:szCs w:val="21"/>
        </w:rPr>
        <w:t>由财政部门列入不良行为记录名单，禁止其一至三年内参加政府采购活动。</w:t>
      </w:r>
    </w:p>
    <w:p>
      <w:pPr>
        <w:spacing w:line="420" w:lineRule="exact"/>
        <w:ind w:firstLine="420" w:firstLineChars="200"/>
        <w:rPr>
          <w:rFonts w:ascii="Arial" w:hAnsi="Arial" w:cs="Arial"/>
        </w:rPr>
      </w:pPr>
      <w:r>
        <w:rPr>
          <w:rFonts w:ascii="Arial" w:hAnsi="Arial" w:cs="Arial"/>
        </w:rPr>
        <w:t>（1）投诉人在全国范围12个月内三次以上投诉查无实据的；</w:t>
      </w:r>
    </w:p>
    <w:p>
      <w:pPr>
        <w:spacing w:line="420" w:lineRule="exact"/>
        <w:ind w:firstLine="420" w:firstLineChars="200"/>
        <w:rPr>
          <w:rFonts w:ascii="Arial" w:hAnsi="Arial" w:cs="Arial"/>
        </w:rPr>
      </w:pPr>
      <w:r>
        <w:rPr>
          <w:rFonts w:ascii="Arial" w:hAnsi="Arial" w:cs="Arial"/>
        </w:rPr>
        <w:t>（2）采用捏造事实、提供虚假材料或者以非法手段取得证明材料等方式进行虚假、恶意投诉。</w:t>
      </w:r>
    </w:p>
    <w:p>
      <w:pPr>
        <w:spacing w:line="420" w:lineRule="exact"/>
        <w:ind w:firstLine="420" w:firstLineChars="200"/>
        <w:rPr>
          <w:rFonts w:ascii="Arial" w:hAnsi="Arial" w:cs="Arial"/>
        </w:rPr>
      </w:pPr>
      <w:r>
        <w:rPr>
          <w:rFonts w:ascii="Arial" w:hAnsi="Arial" w:cs="Arial"/>
        </w:rPr>
        <w:t>证据来源的合法性存在明显疑问，投诉人无法证明其取得方式合法的，视为以非法手段取得证明材料。</w:t>
      </w:r>
    </w:p>
    <w:p>
      <w:pPr>
        <w:widowControl/>
        <w:jc w:val="left"/>
        <w:rPr>
          <w:rFonts w:ascii="Arial" w:hAnsi="Arial" w:cs="Arial"/>
        </w:rPr>
      </w:pPr>
      <w:r>
        <w:rPr>
          <w:rFonts w:ascii="Arial" w:hAnsi="Arial" w:cs="Arial"/>
        </w:rPr>
        <w:br w:type="page"/>
      </w:r>
    </w:p>
    <w:p>
      <w:pPr>
        <w:pStyle w:val="2"/>
        <w:numPr>
          <w:ilvl w:val="0"/>
          <w:numId w:val="0"/>
        </w:numPr>
        <w:rPr>
          <w:rFonts w:ascii="Arial" w:hAnsi="Arial" w:cs="Arial"/>
          <w:kern w:val="0"/>
        </w:rPr>
      </w:pPr>
      <w:r>
        <w:rPr>
          <w:rFonts w:ascii="Arial" w:hAnsi="Arial" w:cs="Arial"/>
          <w:kern w:val="0"/>
        </w:rPr>
        <w:t> </w:t>
      </w:r>
      <w:bookmarkStart w:id="4" w:name="_Toc43902850"/>
      <w:bookmarkStart w:id="5" w:name="_Toc481057145"/>
      <w:r>
        <w:rPr>
          <w:rFonts w:ascii="Arial" w:hAnsi="Arial" w:cs="Arial"/>
          <w:kern w:val="0"/>
        </w:rPr>
        <w:t>第三章  评标标准</w:t>
      </w:r>
      <w:bookmarkEnd w:id="4"/>
    </w:p>
    <w:bookmarkEnd w:id="5"/>
    <w:p>
      <w:pPr>
        <w:spacing w:line="360" w:lineRule="auto"/>
        <w:ind w:firstLine="420" w:firstLineChars="200"/>
        <w:rPr>
          <w:rFonts w:ascii="Arial" w:hAnsi="Arial" w:cs="Arial"/>
        </w:rPr>
      </w:pPr>
      <w:r>
        <w:rPr>
          <w:rFonts w:ascii="Arial" w:hAnsi="Arial" w:cs="Arial"/>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人。</w:t>
      </w:r>
    </w:p>
    <w:tbl>
      <w:tblPr>
        <w:tblStyle w:val="4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1555" w:type="dxa"/>
            <w:vAlign w:val="center"/>
          </w:tcPr>
          <w:p>
            <w:pPr>
              <w:spacing w:line="440" w:lineRule="exact"/>
              <w:jc w:val="center"/>
              <w:rPr>
                <w:rFonts w:ascii="宋体" w:hAnsi="宋体"/>
                <w:b/>
                <w:bCs/>
                <w:szCs w:val="21"/>
              </w:rPr>
            </w:pPr>
            <w:r>
              <w:rPr>
                <w:rFonts w:hint="eastAsia" w:ascii="宋体" w:hAnsi="宋体"/>
                <w:b/>
                <w:bCs/>
                <w:szCs w:val="21"/>
              </w:rPr>
              <w:t>评分因素</w:t>
            </w:r>
          </w:p>
        </w:tc>
        <w:tc>
          <w:tcPr>
            <w:tcW w:w="7517" w:type="dxa"/>
            <w:vAlign w:val="center"/>
          </w:tcPr>
          <w:p>
            <w:pPr>
              <w:spacing w:line="440" w:lineRule="exact"/>
              <w:jc w:val="center"/>
              <w:rPr>
                <w:rFonts w:ascii="宋体" w:hAnsi="宋体"/>
                <w:b/>
                <w:bCs/>
                <w:szCs w:val="21"/>
              </w:rPr>
            </w:pPr>
            <w:r>
              <w:rPr>
                <w:rFonts w:hint="eastAsia" w:ascii="宋体" w:hAnsi="宋体"/>
                <w:b/>
                <w:bCs/>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555" w:type="dxa"/>
            <w:vAlign w:val="center"/>
          </w:tcPr>
          <w:p>
            <w:pPr>
              <w:spacing w:line="440" w:lineRule="exact"/>
              <w:jc w:val="center"/>
              <w:rPr>
                <w:rFonts w:ascii="宋体" w:hAnsi="宋体"/>
                <w:b/>
                <w:bCs/>
                <w:szCs w:val="21"/>
              </w:rPr>
            </w:pPr>
            <w:r>
              <w:rPr>
                <w:rFonts w:hint="eastAsia" w:ascii="宋体" w:hAnsi="宋体"/>
                <w:b/>
                <w:bCs/>
                <w:szCs w:val="21"/>
              </w:rPr>
              <w:t>价格</w:t>
            </w:r>
          </w:p>
          <w:p>
            <w:pPr>
              <w:spacing w:line="440" w:lineRule="exact"/>
              <w:jc w:val="center"/>
              <w:rPr>
                <w:rFonts w:ascii="宋体" w:hAnsi="宋体"/>
                <w:b/>
                <w:bCs/>
                <w:szCs w:val="21"/>
              </w:rPr>
            </w:pPr>
            <w:r>
              <w:rPr>
                <w:rFonts w:hint="eastAsia" w:ascii="宋体" w:hAnsi="宋体"/>
                <w:b/>
                <w:bCs/>
                <w:szCs w:val="21"/>
              </w:rPr>
              <w:t>（</w:t>
            </w:r>
            <w:r>
              <w:rPr>
                <w:rFonts w:ascii="宋体" w:hAnsi="宋体"/>
                <w:b/>
                <w:bCs/>
                <w:szCs w:val="21"/>
              </w:rPr>
              <w:t>30</w:t>
            </w:r>
            <w:r>
              <w:rPr>
                <w:rFonts w:hint="eastAsia" w:ascii="宋体" w:hAnsi="宋体"/>
                <w:b/>
                <w:bCs/>
                <w:szCs w:val="21"/>
              </w:rPr>
              <w:t>分）</w:t>
            </w:r>
          </w:p>
        </w:tc>
        <w:tc>
          <w:tcPr>
            <w:tcW w:w="7517" w:type="dxa"/>
            <w:vAlign w:val="center"/>
          </w:tcPr>
          <w:p>
            <w:pPr>
              <w:rPr>
                <w:rFonts w:ascii="宋体" w:hAnsi="宋体"/>
                <w:bCs/>
                <w:szCs w:val="21"/>
              </w:rPr>
            </w:pPr>
            <w:r>
              <w:rPr>
                <w:rFonts w:hint="eastAsia" w:ascii="宋体" w:hAnsi="宋体"/>
                <w:bCs/>
                <w:szCs w:val="21"/>
              </w:rPr>
              <w:t>价格分采用低价优先法计算，即满足招标文件要求且报价最低的供应商报价为评标基准价，其基准价格为满分</w:t>
            </w:r>
            <w:r>
              <w:rPr>
                <w:rFonts w:ascii="宋体" w:hAnsi="宋体"/>
                <w:bCs/>
                <w:szCs w:val="21"/>
              </w:rPr>
              <w:t>30</w:t>
            </w:r>
            <w:r>
              <w:rPr>
                <w:rFonts w:hint="eastAsia" w:ascii="宋体" w:hAnsi="宋体"/>
                <w:bCs/>
                <w:szCs w:val="21"/>
              </w:rPr>
              <w:t>分。其他投标人的价格分统一按照以下公式计算：</w:t>
            </w:r>
          </w:p>
          <w:p>
            <w:pPr>
              <w:rPr>
                <w:rFonts w:ascii="宋体" w:hAnsi="宋体"/>
                <w:bCs/>
                <w:szCs w:val="21"/>
              </w:rPr>
            </w:pPr>
            <w:r>
              <w:rPr>
                <w:rFonts w:hint="eastAsia" w:ascii="宋体" w:hAnsi="宋体"/>
                <w:bCs/>
                <w:szCs w:val="21"/>
              </w:rPr>
              <w:t>投标报价得分=（最低报价/该投标人的投标报价）×</w:t>
            </w:r>
            <w:r>
              <w:rPr>
                <w:rFonts w:ascii="宋体" w:hAnsi="宋体"/>
                <w:bCs/>
                <w:szCs w:val="21"/>
              </w:rPr>
              <w:t>30</w:t>
            </w:r>
            <w:r>
              <w:rPr>
                <w:rFonts w:hint="eastAsia" w:ascii="宋体" w:hAnsi="宋体"/>
                <w:bCs/>
                <w:szCs w:val="21"/>
              </w:rPr>
              <w:t>分。</w:t>
            </w:r>
          </w:p>
          <w:p>
            <w:pPr>
              <w:rPr>
                <w:rFonts w:ascii="宋体" w:hAnsi="宋体"/>
                <w:bCs/>
                <w:szCs w:val="21"/>
              </w:rPr>
            </w:pPr>
            <w:r>
              <w:rPr>
                <w:rFonts w:hint="eastAsia" w:ascii="宋体" w:hAnsi="宋体"/>
                <w:bCs/>
                <w:szCs w:val="21"/>
              </w:rPr>
              <w:t>注：本项目非专门面向中小企业采购，根据国家财政部发布的《政府采购促进中小企业发展暂行办法》规定，对小型和微型企业产品的价格给与6%扣除，用扣除后的价格参与评审。（需提供中小企业声明函）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55" w:type="dxa"/>
            <w:vAlign w:val="center"/>
          </w:tcPr>
          <w:p>
            <w:pPr>
              <w:spacing w:line="440" w:lineRule="exact"/>
              <w:jc w:val="center"/>
              <w:rPr>
                <w:rFonts w:ascii="宋体" w:hAnsi="宋体"/>
                <w:b/>
                <w:szCs w:val="21"/>
              </w:rPr>
            </w:pPr>
            <w:r>
              <w:rPr>
                <w:rFonts w:hint="eastAsia" w:ascii="宋体" w:hAnsi="宋体"/>
                <w:b/>
                <w:szCs w:val="21"/>
              </w:rPr>
              <w:t>企业资质</w:t>
            </w:r>
          </w:p>
          <w:p>
            <w:pPr>
              <w:spacing w:line="440" w:lineRule="exact"/>
              <w:jc w:val="center"/>
              <w:rPr>
                <w:rFonts w:ascii="宋体" w:hAnsi="宋体"/>
                <w:b/>
                <w:bCs/>
                <w:szCs w:val="21"/>
              </w:rPr>
            </w:pPr>
            <w:r>
              <w:rPr>
                <w:rFonts w:hint="eastAsia" w:ascii="宋体" w:hAnsi="宋体"/>
                <w:b/>
                <w:szCs w:val="21"/>
              </w:rPr>
              <w:t>（</w:t>
            </w:r>
            <w:r>
              <w:rPr>
                <w:rFonts w:ascii="宋体" w:hAnsi="宋体"/>
                <w:b/>
                <w:szCs w:val="21"/>
              </w:rPr>
              <w:t>15</w:t>
            </w:r>
            <w:r>
              <w:rPr>
                <w:rFonts w:hint="eastAsia" w:ascii="宋体" w:hAnsi="宋体"/>
                <w:b/>
                <w:szCs w:val="21"/>
              </w:rPr>
              <w:t>分）</w:t>
            </w:r>
          </w:p>
        </w:tc>
        <w:tc>
          <w:tcPr>
            <w:tcW w:w="7517" w:type="dxa"/>
            <w:vAlign w:val="center"/>
          </w:tcPr>
          <w:p>
            <w:pPr>
              <w:rPr>
                <w:rFonts w:ascii="宋体" w:hAnsi="宋体"/>
                <w:bCs/>
                <w:szCs w:val="21"/>
              </w:rPr>
            </w:pPr>
            <w:r>
              <w:rPr>
                <w:rFonts w:hint="eastAsia" w:ascii="宋体" w:hAnsi="宋体"/>
                <w:bCs/>
                <w:szCs w:val="21"/>
              </w:rPr>
              <w:t>（1）供应商具有</w:t>
            </w:r>
            <w:r>
              <w:rPr>
                <w:rFonts w:ascii="宋体" w:hAnsi="宋体"/>
                <w:bCs/>
                <w:szCs w:val="21"/>
              </w:rPr>
              <w:t>CMMI3</w:t>
            </w:r>
            <w:r>
              <w:rPr>
                <w:rFonts w:hint="eastAsia" w:ascii="宋体" w:hAnsi="宋体"/>
                <w:bCs/>
                <w:szCs w:val="21"/>
              </w:rPr>
              <w:t>及以上认证得</w:t>
            </w:r>
            <w:r>
              <w:rPr>
                <w:rFonts w:ascii="宋体" w:hAnsi="宋体"/>
                <w:bCs/>
                <w:szCs w:val="21"/>
              </w:rPr>
              <w:t>2</w:t>
            </w:r>
            <w:r>
              <w:rPr>
                <w:rFonts w:hint="eastAsia" w:ascii="宋体" w:hAnsi="宋体"/>
                <w:bCs/>
                <w:szCs w:val="21"/>
              </w:rPr>
              <w:t>分，其他不得分。</w:t>
            </w:r>
          </w:p>
          <w:p>
            <w:pPr>
              <w:rPr>
                <w:rFonts w:ascii="宋体" w:hAnsi="宋体"/>
                <w:bCs/>
                <w:szCs w:val="21"/>
              </w:rPr>
            </w:pPr>
            <w:r>
              <w:rPr>
                <w:rFonts w:hint="eastAsia" w:ascii="宋体" w:hAnsi="宋体"/>
                <w:bCs/>
                <w:szCs w:val="21"/>
              </w:rPr>
              <w:t>（2）供应商具有</w:t>
            </w:r>
            <w:r>
              <w:rPr>
                <w:rFonts w:ascii="宋体" w:hAnsi="宋体"/>
                <w:bCs/>
                <w:szCs w:val="21"/>
              </w:rPr>
              <w:t>ISO9001质量管理体系认证</w:t>
            </w:r>
            <w:r>
              <w:rPr>
                <w:rFonts w:hint="eastAsia" w:ascii="宋体" w:hAnsi="宋体"/>
                <w:bCs/>
                <w:szCs w:val="21"/>
              </w:rPr>
              <w:t>证书、ISO20000信息技术服务管理认证证书资质、ISO2</w:t>
            </w:r>
            <w:r>
              <w:rPr>
                <w:rFonts w:ascii="宋体" w:hAnsi="宋体"/>
                <w:bCs/>
                <w:szCs w:val="21"/>
              </w:rPr>
              <w:t>7</w:t>
            </w:r>
            <w:r>
              <w:rPr>
                <w:rFonts w:hint="eastAsia" w:ascii="宋体" w:hAnsi="宋体"/>
                <w:bCs/>
                <w:szCs w:val="21"/>
              </w:rPr>
              <w:t>00</w:t>
            </w:r>
            <w:r>
              <w:rPr>
                <w:rFonts w:ascii="宋体" w:hAnsi="宋体"/>
                <w:bCs/>
                <w:szCs w:val="21"/>
              </w:rPr>
              <w:t>1</w:t>
            </w:r>
            <w:r>
              <w:rPr>
                <w:rFonts w:hint="eastAsia" w:ascii="宋体" w:hAnsi="宋体"/>
                <w:bCs/>
                <w:szCs w:val="21"/>
              </w:rPr>
              <w:t>信息安全认证证书、I</w:t>
            </w:r>
            <w:r>
              <w:rPr>
                <w:rFonts w:ascii="宋体" w:hAnsi="宋体"/>
                <w:bCs/>
                <w:szCs w:val="21"/>
              </w:rPr>
              <w:t>SO14001</w:t>
            </w:r>
            <w:r>
              <w:rPr>
                <w:rFonts w:hint="eastAsia" w:ascii="宋体" w:hAnsi="宋体"/>
                <w:bCs/>
                <w:szCs w:val="21"/>
              </w:rPr>
              <w:t>环境管理体系认证证书，</w:t>
            </w:r>
            <w:r>
              <w:rPr>
                <w:rFonts w:hint="eastAsia" w:ascii="宋体" w:hAnsi="宋体"/>
                <w:bCs/>
                <w:szCs w:val="21"/>
                <w:lang w:val="en-US" w:eastAsia="zh-CN"/>
              </w:rPr>
              <w:t>每提供一份上述证书得1分，</w:t>
            </w:r>
            <w:r>
              <w:rPr>
                <w:rFonts w:hint="eastAsia" w:ascii="宋体" w:hAnsi="宋体"/>
                <w:bCs/>
                <w:szCs w:val="21"/>
              </w:rPr>
              <w:t>最高得</w:t>
            </w:r>
            <w:r>
              <w:rPr>
                <w:rFonts w:ascii="宋体" w:hAnsi="宋体"/>
                <w:bCs/>
                <w:szCs w:val="21"/>
              </w:rPr>
              <w:t>4</w:t>
            </w:r>
            <w:r>
              <w:rPr>
                <w:rFonts w:hint="eastAsia" w:ascii="宋体" w:hAnsi="宋体"/>
                <w:bCs/>
                <w:szCs w:val="21"/>
              </w:rPr>
              <w:t>分。</w:t>
            </w:r>
          </w:p>
          <w:p>
            <w:pPr>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）供应商具有人力资源管理系统和自助应用服务系统相关</w:t>
            </w:r>
            <w:r>
              <w:rPr>
                <w:rFonts w:hint="eastAsia" w:ascii="宋体" w:hAnsi="宋体" w:cs="宋体"/>
                <w:kern w:val="0"/>
                <w:szCs w:val="21"/>
              </w:rPr>
              <w:t>的</w:t>
            </w:r>
            <w:r>
              <w:rPr>
                <w:rFonts w:hint="eastAsia" w:ascii="宋体" w:hAnsi="宋体" w:cs="宋体"/>
                <w:b/>
                <w:bCs/>
                <w:kern w:val="0"/>
                <w:szCs w:val="21"/>
              </w:rPr>
              <w:t>计算机软件著作权证书和软件产品登记证书</w:t>
            </w:r>
            <w:r>
              <w:rPr>
                <w:rFonts w:hint="eastAsia" w:ascii="宋体" w:hAnsi="宋体" w:cs="宋体"/>
                <w:kern w:val="0"/>
                <w:szCs w:val="21"/>
              </w:rPr>
              <w:t>，且软件著作权需和供应商名称一致。每提供1个</w:t>
            </w:r>
            <w:r>
              <w:rPr>
                <w:rFonts w:hint="eastAsia" w:ascii="宋体" w:hAnsi="宋体"/>
                <w:bCs/>
                <w:szCs w:val="21"/>
              </w:rPr>
              <w:t>得1分，最高得</w:t>
            </w:r>
            <w:r>
              <w:rPr>
                <w:rFonts w:ascii="宋体" w:hAnsi="宋体"/>
                <w:bCs/>
                <w:szCs w:val="21"/>
              </w:rPr>
              <w:t>5</w:t>
            </w:r>
            <w:r>
              <w:rPr>
                <w:rFonts w:hint="eastAsia" w:ascii="宋体" w:hAnsi="宋体"/>
                <w:bCs/>
                <w:szCs w:val="21"/>
              </w:rPr>
              <w:t>分。</w:t>
            </w:r>
          </w:p>
          <w:p>
            <w:pPr>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）提供具有第三方正规检测机构关于数据及系统安全、系统高并发访问性能相关的产品检测报告，每提供一项得</w:t>
            </w:r>
            <w:r>
              <w:rPr>
                <w:rFonts w:ascii="宋体" w:hAnsi="宋体"/>
                <w:bCs/>
                <w:szCs w:val="21"/>
              </w:rPr>
              <w:t>2</w:t>
            </w:r>
            <w:r>
              <w:rPr>
                <w:rFonts w:hint="eastAsia" w:ascii="宋体" w:hAnsi="宋体"/>
                <w:bCs/>
                <w:szCs w:val="21"/>
              </w:rPr>
              <w:t>分，最高得</w:t>
            </w:r>
            <w:r>
              <w:rPr>
                <w:rFonts w:ascii="宋体" w:hAnsi="宋体"/>
                <w:bCs/>
                <w:szCs w:val="21"/>
              </w:rPr>
              <w:t>4</w:t>
            </w:r>
            <w:r>
              <w:rPr>
                <w:rFonts w:hint="eastAsia" w:ascii="宋体" w:hAnsi="宋体"/>
                <w:bCs/>
                <w:szCs w:val="21"/>
              </w:rPr>
              <w:t>分。</w:t>
            </w:r>
          </w:p>
          <w:p>
            <w:pPr>
              <w:rPr>
                <w:rFonts w:ascii="宋体" w:hAnsi="宋体"/>
                <w:bCs/>
                <w:szCs w:val="21"/>
              </w:rPr>
            </w:pPr>
            <w:r>
              <w:rPr>
                <w:rFonts w:hint="eastAsia" w:ascii="宋体" w:hAnsi="宋体" w:cs="宋体"/>
                <w:b/>
                <w:bCs/>
                <w:kern w:val="0"/>
                <w:szCs w:val="21"/>
              </w:rPr>
              <w:t>提供证书复印件，不提供或提供不全不得分。原件备查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555" w:type="dxa"/>
            <w:vAlign w:val="center"/>
          </w:tcPr>
          <w:p>
            <w:pPr>
              <w:snapToGrid w:val="0"/>
              <w:spacing w:line="440" w:lineRule="exact"/>
              <w:jc w:val="center"/>
              <w:rPr>
                <w:rFonts w:ascii="宋体" w:hAnsi="宋体"/>
                <w:b/>
                <w:bCs/>
                <w:szCs w:val="21"/>
              </w:rPr>
            </w:pPr>
            <w:r>
              <w:rPr>
                <w:rFonts w:hint="eastAsia" w:ascii="宋体" w:hAnsi="宋体"/>
                <w:b/>
                <w:bCs/>
                <w:szCs w:val="21"/>
              </w:rPr>
              <w:t>项目团队</w:t>
            </w:r>
          </w:p>
          <w:p>
            <w:pPr>
              <w:snapToGrid w:val="0"/>
              <w:spacing w:line="440" w:lineRule="exact"/>
              <w:jc w:val="center"/>
              <w:rPr>
                <w:rFonts w:ascii="宋体" w:hAnsi="宋体"/>
                <w:b/>
                <w:bCs/>
                <w:szCs w:val="21"/>
              </w:rPr>
            </w:pPr>
            <w:r>
              <w:rPr>
                <w:rFonts w:hint="eastAsia" w:ascii="宋体" w:hAnsi="宋体"/>
                <w:b/>
                <w:bCs/>
                <w:szCs w:val="21"/>
              </w:rPr>
              <w:t>（</w:t>
            </w:r>
            <w:r>
              <w:rPr>
                <w:rFonts w:ascii="宋体" w:hAnsi="宋体"/>
                <w:b/>
                <w:bCs/>
                <w:szCs w:val="21"/>
              </w:rPr>
              <w:t>10</w:t>
            </w:r>
            <w:r>
              <w:rPr>
                <w:rFonts w:hint="eastAsia" w:ascii="宋体" w:hAnsi="宋体"/>
                <w:b/>
                <w:bCs/>
                <w:szCs w:val="21"/>
              </w:rPr>
              <w:t>分）</w:t>
            </w:r>
          </w:p>
          <w:p>
            <w:pPr>
              <w:pStyle w:val="20"/>
              <w:ind w:left="1470" w:right="1470"/>
              <w:rPr>
                <w:b/>
              </w:rPr>
            </w:pPr>
          </w:p>
        </w:tc>
        <w:tc>
          <w:tcPr>
            <w:tcW w:w="7517" w:type="dxa"/>
            <w:vAlign w:val="center"/>
          </w:tcPr>
          <w:p>
            <w:pPr>
              <w:rPr>
                <w:rFonts w:ascii="宋体" w:hAnsi="宋体"/>
                <w:bCs/>
                <w:szCs w:val="21"/>
              </w:rPr>
            </w:pPr>
            <w:r>
              <w:rPr>
                <w:rFonts w:hint="eastAsia" w:ascii="宋体" w:hAnsi="宋体"/>
                <w:bCs/>
                <w:szCs w:val="21"/>
              </w:rPr>
              <w:t>（1）投标人提供拟投入本项目的项目负责人同时具有高级项目经理证书、信息系统项目管理师证书、IT服务项目经理证书得</w:t>
            </w:r>
            <w:r>
              <w:rPr>
                <w:rFonts w:ascii="宋体" w:hAnsi="宋体"/>
                <w:bCs/>
                <w:szCs w:val="21"/>
              </w:rPr>
              <w:t>3</w:t>
            </w:r>
            <w:r>
              <w:rPr>
                <w:rFonts w:hint="eastAsia" w:ascii="宋体" w:hAnsi="宋体"/>
                <w:bCs/>
                <w:szCs w:val="21"/>
              </w:rPr>
              <w:t>分，缺一项扣1分。</w:t>
            </w:r>
          </w:p>
          <w:p>
            <w:pPr>
              <w:rPr>
                <w:rFonts w:ascii="宋体" w:hAnsi="宋体"/>
                <w:bCs/>
                <w:szCs w:val="21"/>
              </w:rPr>
            </w:pPr>
            <w:r>
              <w:rPr>
                <w:rFonts w:hint="eastAsia" w:ascii="宋体" w:hAnsi="宋体"/>
                <w:bCs/>
                <w:szCs w:val="21"/>
              </w:rPr>
              <w:t>（2）投标人提供拟投入本项目的实施人员（项目负责人除外）具有</w:t>
            </w:r>
            <w:r>
              <w:rPr>
                <w:rFonts w:hint="eastAsia" w:ascii="宋体" w:hAnsi="宋体"/>
                <w:bCs/>
                <w:szCs w:val="21"/>
                <w:highlight w:val="yellow"/>
              </w:rPr>
              <w:t>高级项目经理证</w:t>
            </w:r>
            <w:r>
              <w:rPr>
                <w:rFonts w:hint="eastAsia" w:ascii="宋体" w:hAnsi="宋体"/>
                <w:bCs/>
                <w:szCs w:val="21"/>
              </w:rPr>
              <w:t>、PMP认证证书、OCP认证工程师，OCM认证工程师，CISP认证工程师，CCAH认证</w:t>
            </w:r>
            <w:r>
              <w:rPr>
                <w:rFonts w:hint="eastAsia" w:ascii="宋体" w:hAnsi="宋体"/>
                <w:bCs/>
                <w:szCs w:val="21"/>
                <w:lang w:eastAsia="zh-CN"/>
              </w:rPr>
              <w:t>，</w:t>
            </w:r>
            <w:r>
              <w:rPr>
                <w:rFonts w:hint="eastAsia" w:ascii="宋体" w:hAnsi="宋体"/>
                <w:bCs/>
                <w:szCs w:val="21"/>
              </w:rPr>
              <w:t>每</w:t>
            </w:r>
            <w:r>
              <w:rPr>
                <w:rFonts w:hint="eastAsia" w:ascii="宋体" w:hAnsi="宋体"/>
                <w:bCs/>
                <w:szCs w:val="21"/>
                <w:lang w:val="en-US" w:eastAsia="zh-CN"/>
              </w:rPr>
              <w:t>提供一份</w:t>
            </w:r>
            <w:r>
              <w:rPr>
                <w:rFonts w:hint="eastAsia" w:ascii="宋体" w:hAnsi="宋体"/>
                <w:bCs/>
                <w:szCs w:val="21"/>
              </w:rPr>
              <w:t>证书得</w:t>
            </w:r>
            <w:r>
              <w:rPr>
                <w:rFonts w:hint="eastAsia" w:ascii="宋体" w:hAnsi="宋体"/>
                <w:bCs/>
                <w:szCs w:val="21"/>
                <w:lang w:val="en-US" w:eastAsia="zh-CN"/>
              </w:rPr>
              <w:t>0.5</w:t>
            </w:r>
            <w:r>
              <w:rPr>
                <w:rFonts w:hint="eastAsia" w:ascii="宋体" w:hAnsi="宋体"/>
                <w:bCs/>
                <w:szCs w:val="21"/>
              </w:rPr>
              <w:t>分，满分</w:t>
            </w:r>
            <w:r>
              <w:rPr>
                <w:rFonts w:ascii="宋体" w:hAnsi="宋体"/>
                <w:bCs/>
                <w:szCs w:val="21"/>
              </w:rPr>
              <w:t>3</w:t>
            </w:r>
            <w:r>
              <w:rPr>
                <w:rFonts w:hint="eastAsia" w:ascii="宋体" w:hAnsi="宋体"/>
                <w:bCs/>
                <w:szCs w:val="21"/>
              </w:rPr>
              <w:t>分。</w:t>
            </w:r>
          </w:p>
          <w:p>
            <w:pPr>
              <w:rPr>
                <w:rFonts w:ascii="宋体" w:hAnsi="宋体"/>
                <w:bCs/>
                <w:szCs w:val="21"/>
              </w:rPr>
            </w:pPr>
            <w:r>
              <w:rPr>
                <w:rFonts w:hint="eastAsia" w:ascii="宋体" w:hAnsi="宋体"/>
                <w:bCs/>
                <w:szCs w:val="21"/>
              </w:rPr>
              <w:t>（3）现场实施人员</w:t>
            </w:r>
            <w:r>
              <w:rPr>
                <w:rFonts w:hint="eastAsia" w:ascii="宋体" w:hAnsi="宋体"/>
                <w:bCs/>
                <w:szCs w:val="21"/>
                <w:lang w:val="en-US" w:eastAsia="zh-CN"/>
              </w:rPr>
              <w:t>承诺</w:t>
            </w:r>
            <w:r>
              <w:rPr>
                <w:rFonts w:hint="eastAsia" w:ascii="宋体" w:hAnsi="宋体"/>
                <w:bCs/>
                <w:szCs w:val="21"/>
              </w:rPr>
              <w:t>在投标人工作2年及以上，提供2名及以上的得4分，提供1名得2分，未提供的不得分（投标文件中</w:t>
            </w:r>
            <w:r>
              <w:rPr>
                <w:rFonts w:hint="eastAsia" w:ascii="宋体" w:hAnsi="宋体"/>
                <w:bCs/>
                <w:szCs w:val="21"/>
                <w:lang w:val="en-US" w:eastAsia="zh-CN"/>
              </w:rPr>
              <w:t>提供承诺书，且</w:t>
            </w:r>
            <w:r>
              <w:rPr>
                <w:rFonts w:hint="eastAsia" w:ascii="宋体" w:hAnsi="宋体"/>
                <w:bCs/>
                <w:szCs w:val="21"/>
              </w:rPr>
              <w:t>提供现场实施人员简历、近24个月的社保证明、资质证书，不提供或不齐全的不得分）。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555" w:type="dxa"/>
            <w:vAlign w:val="center"/>
          </w:tcPr>
          <w:p>
            <w:pPr>
              <w:snapToGrid w:val="0"/>
              <w:spacing w:line="440" w:lineRule="exact"/>
              <w:jc w:val="center"/>
              <w:rPr>
                <w:rFonts w:ascii="宋体" w:hAnsi="宋体"/>
                <w:b/>
                <w:bCs/>
                <w:szCs w:val="21"/>
              </w:rPr>
            </w:pPr>
            <w:r>
              <w:rPr>
                <w:rFonts w:hint="eastAsia" w:ascii="宋体" w:hAnsi="宋体"/>
                <w:b/>
                <w:bCs/>
                <w:szCs w:val="21"/>
              </w:rPr>
              <w:t>业绩</w:t>
            </w:r>
          </w:p>
          <w:p>
            <w:pPr>
              <w:snapToGrid w:val="0"/>
              <w:spacing w:line="440" w:lineRule="exact"/>
              <w:jc w:val="center"/>
              <w:rPr>
                <w:rFonts w:ascii="宋体" w:hAnsi="宋体"/>
                <w:b/>
                <w:bCs/>
                <w:szCs w:val="21"/>
              </w:rPr>
            </w:pPr>
            <w:r>
              <w:rPr>
                <w:rFonts w:hint="eastAsia" w:ascii="宋体" w:hAnsi="宋体"/>
                <w:b/>
                <w:bCs/>
                <w:szCs w:val="21"/>
              </w:rPr>
              <w:t>（</w:t>
            </w:r>
            <w:r>
              <w:rPr>
                <w:rFonts w:ascii="宋体" w:hAnsi="宋体"/>
                <w:b/>
                <w:bCs/>
                <w:szCs w:val="21"/>
              </w:rPr>
              <w:t>10</w:t>
            </w:r>
            <w:r>
              <w:rPr>
                <w:rFonts w:hint="eastAsia" w:ascii="宋体" w:hAnsi="宋体"/>
                <w:b/>
                <w:bCs/>
                <w:szCs w:val="21"/>
              </w:rPr>
              <w:t>分）</w:t>
            </w:r>
          </w:p>
        </w:tc>
        <w:tc>
          <w:tcPr>
            <w:tcW w:w="7517" w:type="dxa"/>
            <w:vAlign w:val="center"/>
          </w:tcPr>
          <w:p>
            <w:pPr>
              <w:rPr>
                <w:rFonts w:ascii="宋体" w:hAnsi="宋体"/>
                <w:bCs/>
                <w:szCs w:val="21"/>
              </w:rPr>
            </w:pPr>
            <w:r>
              <w:rPr>
                <w:rFonts w:hint="eastAsia" w:ascii="宋体" w:hAnsi="宋体"/>
                <w:bCs/>
                <w:szCs w:val="21"/>
              </w:rPr>
              <w:t>投标人提供</w:t>
            </w:r>
            <w:r>
              <w:rPr>
                <w:rFonts w:ascii="宋体" w:hAnsi="宋体"/>
                <w:bCs/>
                <w:szCs w:val="21"/>
              </w:rPr>
              <w:t>自2017年1月1日</w:t>
            </w:r>
            <w:r>
              <w:rPr>
                <w:rFonts w:hint="eastAsia" w:ascii="宋体" w:hAnsi="宋体"/>
                <w:bCs/>
                <w:szCs w:val="21"/>
              </w:rPr>
              <w:t>（以合同签订时间为准）以来类似项目相关案例且完成项目验收的，每提供一份得2分，最高得1</w:t>
            </w:r>
            <w:r>
              <w:rPr>
                <w:rFonts w:ascii="宋体" w:hAnsi="宋体"/>
                <w:bCs/>
                <w:szCs w:val="21"/>
              </w:rPr>
              <w:t>0</w:t>
            </w:r>
            <w:r>
              <w:rPr>
                <w:rFonts w:hint="eastAsia" w:ascii="宋体" w:hAnsi="宋体"/>
                <w:bCs/>
                <w:szCs w:val="21"/>
              </w:rPr>
              <w:t>分。</w:t>
            </w:r>
          </w:p>
          <w:p>
            <w:pPr>
              <w:rPr>
                <w:rFonts w:ascii="宋体" w:hAnsi="宋体"/>
                <w:bCs/>
                <w:szCs w:val="21"/>
              </w:rPr>
            </w:pPr>
            <w:r>
              <w:rPr>
                <w:rFonts w:hint="eastAsia" w:ascii="宋体" w:hAnsi="宋体"/>
                <w:bCs/>
                <w:szCs w:val="21"/>
              </w:rPr>
              <w:t>（必须提供合同首页、签字盖章页、采购清单页以及中标通知书，或加盖公章的网上中标公告证明复印件；）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1555" w:type="dxa"/>
            <w:vMerge w:val="restart"/>
            <w:vAlign w:val="center"/>
          </w:tcPr>
          <w:p>
            <w:pPr>
              <w:spacing w:line="440" w:lineRule="exact"/>
              <w:jc w:val="center"/>
              <w:rPr>
                <w:rFonts w:ascii="宋体" w:hAnsi="宋体"/>
                <w:b/>
                <w:szCs w:val="21"/>
              </w:rPr>
            </w:pPr>
            <w:r>
              <w:rPr>
                <w:rFonts w:hint="eastAsia" w:ascii="宋体" w:hAnsi="宋体"/>
                <w:b/>
                <w:szCs w:val="21"/>
              </w:rPr>
              <w:t>方案</w:t>
            </w:r>
          </w:p>
          <w:p>
            <w:pPr>
              <w:spacing w:line="440" w:lineRule="exact"/>
              <w:jc w:val="center"/>
              <w:rPr>
                <w:rFonts w:ascii="宋体" w:hAnsi="宋体"/>
                <w:b/>
                <w:szCs w:val="21"/>
              </w:rPr>
            </w:pPr>
            <w:r>
              <w:rPr>
                <w:rFonts w:hint="eastAsia" w:ascii="宋体" w:hAnsi="宋体"/>
                <w:b/>
                <w:szCs w:val="21"/>
              </w:rPr>
              <w:t>（</w:t>
            </w:r>
            <w:r>
              <w:rPr>
                <w:rFonts w:ascii="宋体" w:hAnsi="宋体"/>
                <w:b/>
                <w:szCs w:val="21"/>
              </w:rPr>
              <w:t>15</w:t>
            </w:r>
            <w:r>
              <w:rPr>
                <w:rFonts w:hint="eastAsia" w:ascii="宋体" w:hAnsi="宋体"/>
                <w:b/>
                <w:szCs w:val="21"/>
              </w:rPr>
              <w:t>分）</w:t>
            </w:r>
          </w:p>
        </w:tc>
        <w:tc>
          <w:tcPr>
            <w:tcW w:w="7517" w:type="dxa"/>
          </w:tcPr>
          <w:p>
            <w:pPr>
              <w:rPr>
                <w:rFonts w:ascii="宋体" w:hAnsi="宋体"/>
                <w:bCs/>
                <w:szCs w:val="21"/>
              </w:rPr>
            </w:pPr>
            <w:r>
              <w:rPr>
                <w:rFonts w:hint="eastAsia" w:ascii="宋体" w:hAnsi="宋体"/>
                <w:b/>
                <w:bCs/>
                <w:szCs w:val="21"/>
              </w:rPr>
              <w:t>设计方案（</w:t>
            </w:r>
            <w:r>
              <w:rPr>
                <w:rFonts w:hint="eastAsia" w:ascii="宋体" w:hAnsi="宋体"/>
                <w:b/>
                <w:bCs/>
                <w:szCs w:val="21"/>
                <w:lang w:val="en-US" w:eastAsia="zh-CN"/>
              </w:rPr>
              <w:t>6</w:t>
            </w:r>
            <w:r>
              <w:rPr>
                <w:rFonts w:hint="eastAsia" w:ascii="宋体" w:hAnsi="宋体"/>
                <w:b/>
                <w:bCs/>
                <w:szCs w:val="21"/>
              </w:rPr>
              <w:t>分）：</w:t>
            </w:r>
            <w:r>
              <w:rPr>
                <w:rFonts w:hint="eastAsia" w:ascii="宋体" w:hAnsi="宋体"/>
                <w:bCs/>
                <w:szCs w:val="21"/>
              </w:rPr>
              <w:t>根据方案是否详细、科学、可行以及所投产品的各性能搭配是否合理、兼容等综合评分。</w:t>
            </w:r>
          </w:p>
          <w:p>
            <w:pPr>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）设计方案提供平台总体设计方案及技术说明。方案科学合理得</w:t>
            </w:r>
            <w:r>
              <w:rPr>
                <w:rFonts w:hint="eastAsia" w:ascii="宋体" w:hAnsi="宋体"/>
                <w:bCs/>
                <w:szCs w:val="21"/>
                <w:lang w:val="en-US" w:eastAsia="zh-CN"/>
              </w:rPr>
              <w:t>2</w:t>
            </w:r>
            <w:r>
              <w:rPr>
                <w:rFonts w:hint="eastAsia" w:ascii="宋体" w:hAnsi="宋体"/>
                <w:bCs/>
                <w:szCs w:val="21"/>
              </w:rPr>
              <w:t>分，方案一般得1分，未提供不得分。</w:t>
            </w:r>
          </w:p>
          <w:p>
            <w:pPr>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）设计方案提供每个模块的功能设计。方案科学合理得</w:t>
            </w:r>
            <w:r>
              <w:rPr>
                <w:rFonts w:hint="eastAsia" w:ascii="宋体" w:hAnsi="宋体"/>
                <w:bCs/>
                <w:szCs w:val="21"/>
                <w:lang w:val="en-US" w:eastAsia="zh-CN"/>
              </w:rPr>
              <w:t>2</w:t>
            </w:r>
            <w:r>
              <w:rPr>
                <w:rFonts w:hint="eastAsia" w:ascii="宋体" w:hAnsi="宋体"/>
                <w:bCs/>
                <w:szCs w:val="21"/>
              </w:rPr>
              <w:t>分，方案一般得1分，未提供不得分。</w:t>
            </w:r>
          </w:p>
          <w:p>
            <w:pPr>
              <w:rPr>
                <w:rFonts w:ascii="宋体" w:hAnsi="宋体"/>
                <w:bCs/>
                <w:szCs w:val="21"/>
              </w:rPr>
            </w:pPr>
          </w:p>
          <w:p>
            <w:pPr>
              <w:rPr>
                <w:rFonts w:hint="eastAsia" w:ascii="宋体" w:hAnsi="宋体"/>
                <w:bCs/>
                <w:szCs w:val="21"/>
              </w:rPr>
            </w:pPr>
            <w:r>
              <w:rPr>
                <w:rFonts w:hint="eastAsia"/>
              </w:rPr>
              <w:t>（3）</w:t>
            </w:r>
            <w:r>
              <w:rPr>
                <w:rFonts w:hint="eastAsia"/>
                <w:szCs w:val="21"/>
              </w:rPr>
              <w:t>设计方案提供现有人事系统平滑迁移总设计及技术说明。</w:t>
            </w:r>
            <w:r>
              <w:rPr>
                <w:rFonts w:hint="eastAsia" w:ascii="宋体" w:hAnsi="宋体"/>
                <w:bCs/>
                <w:szCs w:val="21"/>
              </w:rPr>
              <w:t>方案科学合理得</w:t>
            </w:r>
            <w:r>
              <w:rPr>
                <w:rFonts w:hint="eastAsia" w:ascii="宋体" w:hAnsi="宋体"/>
                <w:bCs/>
                <w:szCs w:val="21"/>
                <w:lang w:val="en-US" w:eastAsia="zh-CN"/>
              </w:rPr>
              <w:t>2</w:t>
            </w:r>
            <w:r>
              <w:rPr>
                <w:rFonts w:hint="eastAsia" w:ascii="宋体" w:hAnsi="宋体"/>
                <w:bCs/>
                <w:szCs w:val="21"/>
              </w:rPr>
              <w:t>分，方案一般得1分，未提供不得分。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555" w:type="dxa"/>
            <w:vMerge w:val="continue"/>
            <w:vAlign w:val="center"/>
          </w:tcPr>
          <w:p>
            <w:pPr>
              <w:spacing w:line="440" w:lineRule="exact"/>
              <w:jc w:val="center"/>
              <w:rPr>
                <w:rFonts w:ascii="宋体" w:hAnsi="宋体"/>
                <w:b/>
                <w:szCs w:val="21"/>
              </w:rPr>
            </w:pPr>
          </w:p>
        </w:tc>
        <w:tc>
          <w:tcPr>
            <w:tcW w:w="7517" w:type="dxa"/>
          </w:tcPr>
          <w:p>
            <w:pPr>
              <w:rPr>
                <w:rFonts w:ascii="宋体" w:hAnsi="宋体"/>
                <w:b/>
                <w:bCs/>
                <w:szCs w:val="21"/>
              </w:rPr>
            </w:pPr>
            <w:r>
              <w:rPr>
                <w:rFonts w:hint="eastAsia" w:ascii="宋体" w:hAnsi="宋体"/>
                <w:b/>
                <w:bCs/>
                <w:szCs w:val="21"/>
              </w:rPr>
              <w:t>售前售后服务方案（</w:t>
            </w:r>
            <w:r>
              <w:rPr>
                <w:rFonts w:hint="eastAsia" w:ascii="宋体" w:hAnsi="宋体"/>
                <w:b/>
                <w:bCs/>
                <w:szCs w:val="21"/>
                <w:lang w:val="en-US" w:eastAsia="zh-CN"/>
              </w:rPr>
              <w:t>7</w:t>
            </w:r>
            <w:r>
              <w:rPr>
                <w:rFonts w:hint="eastAsia" w:ascii="宋体" w:hAnsi="宋体"/>
                <w:b/>
                <w:bCs/>
                <w:szCs w:val="21"/>
              </w:rPr>
              <w:t>分）。</w:t>
            </w:r>
          </w:p>
          <w:p>
            <w:pPr>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）投标人注册地在南京市内，或在南京市内设有子公司或分公司或办事处或在南京具有常驻售后服务机构（提供营业执照或能证明是其办公场所的证明文件），证明材料完整得</w:t>
            </w:r>
            <w:r>
              <w:rPr>
                <w:rFonts w:ascii="宋体" w:hAnsi="宋体"/>
                <w:bCs/>
                <w:szCs w:val="21"/>
              </w:rPr>
              <w:t>2</w:t>
            </w:r>
            <w:r>
              <w:rPr>
                <w:rFonts w:hint="eastAsia" w:ascii="宋体" w:hAnsi="宋体"/>
                <w:bCs/>
                <w:szCs w:val="21"/>
              </w:rPr>
              <w:t>分，否则不得分。</w:t>
            </w:r>
          </w:p>
          <w:p>
            <w:pPr>
              <w:rPr>
                <w:rFonts w:hint="eastAsia"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）提供详细的售前、售后服务方案，根据服务方案是否能够保障系统在建设服务期内的正常运行进行综合评分。方案科学合理得2分，方案一般得1分，未提供不得分。</w:t>
            </w:r>
          </w:p>
          <w:p>
            <w:pPr>
              <w:rPr>
                <w:rFonts w:hint="default" w:ascii="宋体" w:hAnsi="宋体" w:eastAsia="宋体"/>
                <w:bCs/>
                <w:szCs w:val="21"/>
                <w:lang w:val="en-US" w:eastAsia="zh-CN"/>
              </w:rPr>
            </w:pPr>
            <w:r>
              <w:rPr>
                <w:rFonts w:hint="eastAsia" w:ascii="宋体" w:hAnsi="宋体"/>
                <w:bCs/>
                <w:szCs w:val="21"/>
                <w:highlight w:val="yellow"/>
                <w:lang w:eastAsia="zh-CN"/>
              </w:rPr>
              <w:t>（</w:t>
            </w:r>
            <w:r>
              <w:rPr>
                <w:rFonts w:hint="eastAsia" w:ascii="宋体" w:hAnsi="宋体"/>
                <w:bCs/>
                <w:szCs w:val="21"/>
                <w:highlight w:val="yellow"/>
                <w:lang w:val="en-US" w:eastAsia="zh-CN"/>
              </w:rPr>
              <w:t>3</w:t>
            </w:r>
            <w:r>
              <w:rPr>
                <w:rFonts w:hint="eastAsia" w:ascii="宋体" w:hAnsi="宋体"/>
                <w:bCs/>
                <w:szCs w:val="21"/>
                <w:highlight w:val="yellow"/>
                <w:lang w:eastAsia="zh-CN"/>
              </w:rPr>
              <w:t>）</w:t>
            </w:r>
            <w:r>
              <w:rPr>
                <w:rFonts w:hint="eastAsia" w:ascii="宋体" w:hAnsi="宋体"/>
                <w:bCs/>
                <w:szCs w:val="21"/>
                <w:highlight w:val="yellow"/>
                <w:lang w:val="en-US" w:eastAsia="zh-CN"/>
              </w:rPr>
              <w:t>投标人承诺在3年免费售后服务的基础上，每增加1年免费售后服务得1.5分，最高得3分。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55" w:type="dxa"/>
            <w:vMerge w:val="continue"/>
            <w:vAlign w:val="center"/>
          </w:tcPr>
          <w:p>
            <w:pPr>
              <w:spacing w:line="440" w:lineRule="exact"/>
              <w:jc w:val="center"/>
              <w:rPr>
                <w:rFonts w:ascii="宋体" w:hAnsi="宋体"/>
                <w:b/>
                <w:szCs w:val="21"/>
              </w:rPr>
            </w:pPr>
          </w:p>
        </w:tc>
        <w:tc>
          <w:tcPr>
            <w:tcW w:w="7517" w:type="dxa"/>
          </w:tcPr>
          <w:p>
            <w:pPr>
              <w:rPr>
                <w:rFonts w:ascii="宋体" w:hAnsi="宋体"/>
                <w:bCs/>
                <w:szCs w:val="21"/>
              </w:rPr>
            </w:pPr>
            <w:r>
              <w:rPr>
                <w:rFonts w:hint="eastAsia" w:ascii="宋体" w:hAnsi="宋体"/>
                <w:b/>
                <w:bCs/>
                <w:szCs w:val="21"/>
              </w:rPr>
              <w:t>培训服务方案（2分）。</w:t>
            </w:r>
            <w:r>
              <w:rPr>
                <w:rFonts w:hint="eastAsia" w:ascii="宋体" w:hAnsi="宋体"/>
                <w:bCs/>
                <w:szCs w:val="21"/>
              </w:rPr>
              <w:t>提出详细的技术培训方案，根据培训方案是否能够让所培训的人员对业务系统正确的使用进行综合评分。方案科学合理得2分，方案一般得1分，未提供不得分。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555" w:type="dxa"/>
            <w:vAlign w:val="center"/>
          </w:tcPr>
          <w:p>
            <w:pPr>
              <w:spacing w:line="440" w:lineRule="exact"/>
              <w:jc w:val="center"/>
              <w:rPr>
                <w:b/>
              </w:rPr>
            </w:pPr>
            <w:r>
              <w:rPr>
                <w:rFonts w:hint="eastAsia" w:ascii="宋体" w:hAnsi="宋体"/>
                <w:b/>
                <w:szCs w:val="21"/>
              </w:rPr>
              <w:t>系统演示</w:t>
            </w:r>
          </w:p>
          <w:p>
            <w:pPr>
              <w:spacing w:line="440" w:lineRule="exact"/>
              <w:jc w:val="center"/>
              <w:rPr>
                <w:rFonts w:hint="eastAsia" w:ascii="宋体" w:hAnsi="宋体"/>
                <w:b/>
                <w:szCs w:val="21"/>
              </w:rPr>
            </w:pPr>
            <w:r>
              <w:rPr>
                <w:rFonts w:hint="eastAsia" w:ascii="宋体" w:hAnsi="宋体"/>
                <w:b/>
                <w:szCs w:val="21"/>
              </w:rPr>
              <w:t>（</w:t>
            </w:r>
            <w:r>
              <w:rPr>
                <w:rFonts w:ascii="宋体" w:hAnsi="宋体"/>
                <w:b/>
                <w:szCs w:val="21"/>
              </w:rPr>
              <w:t>20</w:t>
            </w:r>
            <w:r>
              <w:rPr>
                <w:rFonts w:hint="eastAsia" w:ascii="宋体" w:hAnsi="宋体"/>
                <w:b/>
                <w:szCs w:val="21"/>
              </w:rPr>
              <w:t>分）</w:t>
            </w:r>
          </w:p>
          <w:p>
            <w:pPr>
              <w:spacing w:line="440" w:lineRule="exact"/>
              <w:jc w:val="center"/>
              <w:rPr>
                <w:rFonts w:hint="default" w:ascii="宋体" w:hAnsi="宋体" w:eastAsia="宋体"/>
                <w:b/>
                <w:szCs w:val="21"/>
                <w:lang w:val="en-US" w:eastAsia="zh-CN"/>
              </w:rPr>
            </w:pPr>
            <w:r>
              <w:rPr>
                <w:rFonts w:hint="eastAsia" w:ascii="宋体" w:hAnsi="宋体"/>
                <w:b/>
                <w:szCs w:val="21"/>
                <w:lang w:val="en-US" w:eastAsia="zh-CN"/>
              </w:rPr>
              <w:t>本项得分低于14分作无效响应处理</w:t>
            </w:r>
          </w:p>
        </w:tc>
        <w:tc>
          <w:tcPr>
            <w:tcW w:w="7517" w:type="dxa"/>
          </w:tcPr>
          <w:p>
            <w:pPr>
              <w:rPr>
                <w:rFonts w:ascii="宋体" w:hAnsi="宋体"/>
                <w:szCs w:val="21"/>
              </w:rPr>
            </w:pPr>
            <w:r>
              <w:rPr>
                <w:rFonts w:hint="eastAsia" w:ascii="宋体" w:hAnsi="宋体"/>
                <w:b/>
                <w:szCs w:val="21"/>
              </w:rPr>
              <w:t>现场操作实际平台系统。</w:t>
            </w:r>
            <w:r>
              <w:rPr>
                <w:rFonts w:hint="eastAsia" w:ascii="宋体" w:hAnsi="宋体"/>
                <w:szCs w:val="21"/>
              </w:rPr>
              <w:t>要求</w:t>
            </w:r>
            <w:r>
              <w:rPr>
                <w:rFonts w:ascii="宋体" w:hAnsi="宋体"/>
                <w:szCs w:val="21"/>
              </w:rPr>
              <w:t>提供真实系统功能</w:t>
            </w:r>
            <w:r>
              <w:rPr>
                <w:rFonts w:hint="eastAsia" w:ascii="宋体" w:hAnsi="宋体"/>
                <w:szCs w:val="21"/>
              </w:rPr>
              <w:t>现场</w:t>
            </w:r>
            <w:r>
              <w:rPr>
                <w:rFonts w:ascii="宋体" w:hAnsi="宋体"/>
                <w:szCs w:val="21"/>
              </w:rPr>
              <w:t>演示，</w:t>
            </w:r>
            <w:r>
              <w:rPr>
                <w:rFonts w:hint="eastAsia" w:ascii="宋体" w:hAnsi="宋体"/>
                <w:szCs w:val="21"/>
              </w:rPr>
              <w:t>根</w:t>
            </w:r>
            <w:r>
              <w:rPr>
                <w:rFonts w:ascii="宋体" w:hAnsi="宋体"/>
                <w:szCs w:val="21"/>
              </w:rPr>
              <w:t>据各供应商功能实现情况综合评价，</w:t>
            </w:r>
            <w:r>
              <w:rPr>
                <w:rFonts w:hint="eastAsia" w:ascii="宋体" w:hAnsi="宋体"/>
                <w:szCs w:val="21"/>
              </w:rPr>
              <w:t>每项观测点</w:t>
            </w:r>
            <w:r>
              <w:rPr>
                <w:rFonts w:ascii="宋体" w:hAnsi="宋体"/>
                <w:szCs w:val="21"/>
              </w:rPr>
              <w:t>2</w:t>
            </w:r>
            <w:r>
              <w:rPr>
                <w:rFonts w:hint="eastAsia" w:ascii="宋体" w:hAnsi="宋体"/>
                <w:szCs w:val="21"/>
              </w:rPr>
              <w:t>分（PPT演示每项最多得1分），</w:t>
            </w:r>
            <w:r>
              <w:rPr>
                <w:rFonts w:ascii="宋体" w:hAnsi="宋体"/>
                <w:szCs w:val="21"/>
              </w:rPr>
              <w:t>未提供</w:t>
            </w:r>
            <w:r>
              <w:rPr>
                <w:rFonts w:hint="eastAsia" w:ascii="宋体" w:hAnsi="宋体"/>
                <w:szCs w:val="21"/>
              </w:rPr>
              <w:t>演示</w:t>
            </w:r>
            <w:r>
              <w:rPr>
                <w:rFonts w:ascii="宋体" w:hAnsi="宋体"/>
                <w:szCs w:val="21"/>
              </w:rPr>
              <w:t>不得分。</w:t>
            </w:r>
          </w:p>
          <w:p>
            <w:pPr>
              <w:rPr>
                <w:rFonts w:ascii="宋体" w:hAnsi="宋体"/>
                <w:b/>
                <w:szCs w:val="21"/>
              </w:rPr>
            </w:pPr>
            <w:r>
              <w:rPr>
                <w:rFonts w:ascii="宋体" w:hAnsi="宋体"/>
                <w:b/>
                <w:szCs w:val="21"/>
              </w:rPr>
              <w:t>1.</w:t>
            </w:r>
            <w:r>
              <w:rPr>
                <w:rFonts w:hint="eastAsia" w:ascii="宋体" w:hAnsi="宋体"/>
                <w:b/>
                <w:szCs w:val="21"/>
              </w:rPr>
              <w:t>人事管理系统</w:t>
            </w:r>
          </w:p>
          <w:p>
            <w:pPr>
              <w:pStyle w:val="186"/>
              <w:ind w:firstLine="210" w:firstLineChars="100"/>
              <w:rPr>
                <w:rFonts w:ascii="宋体" w:hAnsi="宋体"/>
                <w:szCs w:val="21"/>
              </w:rPr>
            </w:pPr>
            <w:r>
              <w:rPr>
                <w:rFonts w:hint="eastAsia" w:ascii="宋体" w:hAnsi="宋体"/>
                <w:szCs w:val="21"/>
              </w:rPr>
              <w:t>（1）演示对各类用户的管理功能，包括在职人员(事业编、非事业编、兼职、临时、外聘等)、调出/入人员、离退人员和去世人员等，人员属性字典支持自定义增加或删减，支持人事异动及档案管理。</w:t>
            </w:r>
          </w:p>
          <w:p>
            <w:pPr>
              <w:pStyle w:val="186"/>
              <w:ind w:firstLine="210" w:firstLineChars="100"/>
              <w:rPr>
                <w:rFonts w:ascii="宋体" w:hAnsi="宋体"/>
                <w:szCs w:val="21"/>
              </w:rPr>
            </w:pPr>
            <w:r>
              <w:rPr>
                <w:rFonts w:hint="eastAsia" w:ascii="宋体" w:hAnsi="宋体"/>
                <w:szCs w:val="21"/>
              </w:rPr>
              <w:t>（2）演示系统授权体系，支持按人、按角色、按类别进行授权，支持权限的叠加操作，支持系统功能维度授权和数据维度授权。</w:t>
            </w:r>
          </w:p>
          <w:p>
            <w:pPr>
              <w:pStyle w:val="186"/>
              <w:ind w:firstLine="210" w:firstLineChars="100"/>
              <w:rPr>
                <w:rFonts w:ascii="宋体" w:hAnsi="宋体"/>
                <w:szCs w:val="21"/>
              </w:rPr>
            </w:pPr>
            <w:r>
              <w:rPr>
                <w:rFonts w:hint="eastAsia" w:ascii="宋体" w:hAnsi="宋体"/>
                <w:szCs w:val="21"/>
              </w:rPr>
              <w:t>（3）演示灵活的管理流程控制，支持流程自定义，可以根据需要主动增加或删减流程控制。</w:t>
            </w:r>
          </w:p>
          <w:p>
            <w:pPr>
              <w:pStyle w:val="186"/>
              <w:ind w:firstLine="210" w:firstLineChars="100"/>
              <w:rPr>
                <w:rFonts w:ascii="宋体" w:hAnsi="宋体"/>
                <w:szCs w:val="21"/>
              </w:rPr>
            </w:pPr>
            <w:r>
              <w:rPr>
                <w:rFonts w:hint="eastAsia" w:ascii="宋体" w:hAnsi="宋体"/>
                <w:szCs w:val="21"/>
              </w:rPr>
              <w:t>（4）演示工资管理体系，针对不同类型的用户执行不同的工资体系，支持工资标准的灵活调整。</w:t>
            </w:r>
          </w:p>
          <w:p>
            <w:pPr>
              <w:pStyle w:val="186"/>
              <w:ind w:firstLine="210" w:firstLineChars="100"/>
              <w:rPr>
                <w:rFonts w:ascii="宋体" w:hAnsi="宋体"/>
                <w:szCs w:val="21"/>
              </w:rPr>
            </w:pPr>
            <w:r>
              <w:rPr>
                <w:rFonts w:hint="eastAsia" w:ascii="宋体" w:hAnsi="宋体"/>
                <w:szCs w:val="21"/>
              </w:rPr>
              <w:t>（5）演示报表管理功能，支持报表设计与数据输出，支持与上级主管部门报送数据的一键生成，如高基报表。</w:t>
            </w:r>
          </w:p>
          <w:p>
            <w:pPr>
              <w:pStyle w:val="186"/>
              <w:ind w:firstLine="210" w:firstLineChars="100"/>
              <w:rPr>
                <w:rFonts w:ascii="宋体" w:hAnsi="宋体"/>
                <w:szCs w:val="21"/>
              </w:rPr>
            </w:pPr>
            <w:r>
              <w:rPr>
                <w:rFonts w:hint="eastAsia" w:ascii="宋体" w:hAnsi="宋体"/>
                <w:szCs w:val="21"/>
              </w:rPr>
              <w:t>（6）演示数据统计与分析功能，支持预制常规人事数据的统计分析与查询，支持自定义统计分析功能；</w:t>
            </w:r>
          </w:p>
          <w:p>
            <w:pPr>
              <w:jc w:val="left"/>
              <w:rPr>
                <w:rFonts w:ascii="宋体" w:hAnsi="宋体"/>
                <w:b/>
                <w:szCs w:val="21"/>
              </w:rPr>
            </w:pPr>
            <w:r>
              <w:rPr>
                <w:rFonts w:ascii="宋体" w:hAnsi="宋体"/>
                <w:b/>
                <w:szCs w:val="21"/>
              </w:rPr>
              <w:t>2</w:t>
            </w:r>
            <w:r>
              <w:rPr>
                <w:rFonts w:hint="eastAsia" w:ascii="宋体" w:hAnsi="宋体"/>
                <w:b/>
                <w:szCs w:val="21"/>
              </w:rPr>
              <w:t>．评审系统</w:t>
            </w:r>
          </w:p>
          <w:p>
            <w:pPr>
              <w:ind w:firstLine="210" w:firstLineChars="1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）演示职称在线申报与审批，支持评审专家在线评审及专家库的管理，支持专家手机号登录系统。</w:t>
            </w:r>
          </w:p>
          <w:p>
            <w:pPr>
              <w:rPr>
                <w:rFonts w:ascii="宋体" w:hAnsi="宋体"/>
                <w:b/>
                <w:szCs w:val="21"/>
              </w:rPr>
            </w:pPr>
            <w:r>
              <w:rPr>
                <w:rFonts w:ascii="宋体" w:hAnsi="宋体"/>
                <w:b/>
                <w:szCs w:val="21"/>
              </w:rPr>
              <w:t>3</w:t>
            </w:r>
            <w:r>
              <w:rPr>
                <w:rFonts w:hint="eastAsia" w:ascii="宋体" w:hAnsi="宋体"/>
                <w:b/>
                <w:szCs w:val="21"/>
              </w:rPr>
              <w:t>．绩效管理系统</w:t>
            </w:r>
          </w:p>
          <w:p>
            <w:pPr>
              <w:ind w:firstLine="210" w:firstLineChars="1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）演示考核管理系统，支持单位综合考核、个人年度考核、聘期考核和绩效考核管理；支持定性、定量等不同的考核模式，能够针对不同类别的人员实施不同的考核方案，能够建立全流程的考核机制。</w:t>
            </w:r>
          </w:p>
          <w:p>
            <w:pPr>
              <w:pStyle w:val="20"/>
              <w:spacing w:after="0"/>
              <w:ind w:left="0" w:leftChars="0" w:right="1470"/>
              <w:rPr>
                <w:rFonts w:ascii="宋体" w:hAnsi="宋体"/>
                <w:b/>
                <w:sz w:val="21"/>
                <w:szCs w:val="21"/>
              </w:rPr>
            </w:pPr>
            <w:r>
              <w:rPr>
                <w:rFonts w:hint="eastAsia" w:ascii="宋体" w:hAnsi="宋体"/>
                <w:b/>
                <w:sz w:val="21"/>
                <w:szCs w:val="21"/>
              </w:rPr>
              <w:t>4．招聘系统</w:t>
            </w:r>
          </w:p>
          <w:p>
            <w:pPr>
              <w:ind w:firstLine="210" w:firstLineChars="1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）演示在线应聘申报与受理，支持招聘进程的查询与跟踪。</w:t>
            </w:r>
          </w:p>
          <w:p>
            <w:pPr>
              <w:pStyle w:val="20"/>
              <w:ind w:left="0" w:leftChars="0" w:right="1470"/>
              <w:rPr>
                <w:b/>
                <w:sz w:val="21"/>
                <w:szCs w:val="21"/>
              </w:rPr>
            </w:pPr>
            <w:r>
              <w:rPr>
                <w:rFonts w:hint="eastAsia"/>
                <w:b/>
                <w:sz w:val="21"/>
                <w:szCs w:val="21"/>
              </w:rPr>
              <w:t>演示时间不超过1</w:t>
            </w:r>
            <w:r>
              <w:rPr>
                <w:b/>
                <w:sz w:val="21"/>
                <w:szCs w:val="21"/>
              </w:rPr>
              <w:t>0</w:t>
            </w:r>
            <w:r>
              <w:rPr>
                <w:rFonts w:hint="eastAsia"/>
                <w:b/>
                <w:sz w:val="21"/>
                <w:szCs w:val="21"/>
              </w:rPr>
              <w:t>分钟</w:t>
            </w:r>
          </w:p>
        </w:tc>
      </w:tr>
    </w:tbl>
    <w:p>
      <w:pPr>
        <w:rPr>
          <w:rFonts w:hint="eastAsia" w:ascii="Arial" w:hAnsi="Arial" w:cs="Arial"/>
        </w:rPr>
      </w:pPr>
    </w:p>
    <w:p>
      <w:pPr>
        <w:spacing w:line="360" w:lineRule="auto"/>
        <w:ind w:firstLine="440" w:firstLineChars="200"/>
        <w:rPr>
          <w:rFonts w:ascii="Arial" w:hAnsi="Arial" w:cs="Arial"/>
          <w:b/>
          <w:sz w:val="22"/>
          <w:szCs w:val="28"/>
        </w:rPr>
      </w:pPr>
      <w:r>
        <w:rPr>
          <w:rFonts w:ascii="Arial" w:hAnsi="Arial" w:cs="Arial"/>
          <w:b/>
          <w:sz w:val="22"/>
          <w:szCs w:val="28"/>
        </w:rPr>
        <w:t>说明：所有认证、证明和业绩均以有效清晰的证明文件的复印件为依据，原件备查。</w:t>
      </w:r>
    </w:p>
    <w:p>
      <w:pPr>
        <w:widowControl/>
        <w:jc w:val="left"/>
        <w:rPr>
          <w:rFonts w:ascii="Arial" w:hAnsi="Arial" w:cs="Arial"/>
          <w:b/>
          <w:bCs/>
          <w:kern w:val="0"/>
          <w:sz w:val="32"/>
          <w:szCs w:val="44"/>
        </w:rPr>
      </w:pPr>
      <w:r>
        <w:rPr>
          <w:rFonts w:ascii="Arial" w:hAnsi="Arial" w:cs="Arial"/>
          <w:kern w:val="0"/>
        </w:rPr>
        <w:br w:type="page"/>
      </w:r>
    </w:p>
    <w:p>
      <w:pPr>
        <w:pStyle w:val="2"/>
        <w:numPr>
          <w:ilvl w:val="0"/>
          <w:numId w:val="0"/>
        </w:numPr>
        <w:rPr>
          <w:rFonts w:ascii="Arial" w:hAnsi="Arial" w:cs="Arial"/>
          <w:kern w:val="0"/>
        </w:rPr>
      </w:pPr>
      <w:bookmarkStart w:id="6" w:name="_Toc43902851"/>
      <w:r>
        <w:rPr>
          <w:rFonts w:ascii="Arial" w:hAnsi="Arial" w:cs="Arial"/>
          <w:kern w:val="0"/>
        </w:rPr>
        <w:t>第四章 采购需求</w:t>
      </w:r>
      <w:bookmarkEnd w:id="6"/>
      <w:bookmarkStart w:id="7" w:name="_Toc481057147"/>
    </w:p>
    <w:p/>
    <w:p>
      <w:pPr>
        <w:rPr>
          <w:rFonts w:hint="eastAsia"/>
        </w:rPr>
      </w:pPr>
    </w:p>
    <w:p>
      <w:pPr>
        <w:pStyle w:val="193"/>
        <w:ind w:firstLine="562"/>
        <w:jc w:val="center"/>
        <w:rPr>
          <w:rFonts w:hint="eastAsia" w:ascii="宋体" w:hAnsi="宋体" w:cs="仿宋_GB2312"/>
          <w:b/>
          <w:sz w:val="28"/>
          <w:szCs w:val="21"/>
        </w:rPr>
      </w:pPr>
      <w:r>
        <w:rPr>
          <w:rFonts w:hint="eastAsia" w:ascii="宋体" w:hAnsi="宋体" w:cs="仿宋_GB2312"/>
          <w:b/>
          <w:sz w:val="28"/>
          <w:szCs w:val="21"/>
        </w:rPr>
        <w:t>项目概况</w:t>
      </w:r>
    </w:p>
    <w:p>
      <w:pPr>
        <w:pStyle w:val="193"/>
        <w:ind w:firstLine="420"/>
        <w:rPr>
          <w:rFonts w:ascii="宋体" w:hAnsi="宋体" w:cs="仿宋_GB2312"/>
          <w:sz w:val="21"/>
          <w:szCs w:val="21"/>
        </w:rPr>
      </w:pPr>
      <w:r>
        <w:rPr>
          <w:rFonts w:hint="eastAsia" w:ascii="宋体" w:hAnsi="宋体" w:cs="仿宋_GB2312"/>
          <w:sz w:val="21"/>
          <w:szCs w:val="21"/>
        </w:rPr>
        <w:t>1.建设一个网络化的人事系统，向全校教职工开放，将各</w:t>
      </w:r>
      <w:r>
        <w:rPr>
          <w:rFonts w:ascii="宋体" w:hAnsi="宋体" w:cs="仿宋_GB2312"/>
          <w:sz w:val="21"/>
          <w:szCs w:val="21"/>
        </w:rPr>
        <w:t>部门</w:t>
      </w:r>
      <w:r>
        <w:rPr>
          <w:rFonts w:hint="eastAsia" w:ascii="宋体" w:hAnsi="宋体" w:cs="仿宋_GB2312"/>
          <w:sz w:val="21"/>
          <w:szCs w:val="21"/>
        </w:rPr>
        <w:t>和</w:t>
      </w:r>
      <w:r>
        <w:rPr>
          <w:rFonts w:ascii="宋体" w:hAnsi="宋体" w:cs="仿宋_GB2312"/>
          <w:sz w:val="21"/>
          <w:szCs w:val="21"/>
        </w:rPr>
        <w:t>各部门</w:t>
      </w:r>
      <w:r>
        <w:rPr>
          <w:rFonts w:hint="eastAsia" w:ascii="宋体" w:hAnsi="宋体" w:cs="仿宋_GB2312"/>
          <w:sz w:val="21"/>
          <w:szCs w:val="21"/>
        </w:rPr>
        <w:t>办事人员集中到一个统一的网络系统上协同办公。</w:t>
      </w:r>
    </w:p>
    <w:p>
      <w:pPr>
        <w:pStyle w:val="193"/>
        <w:ind w:firstLine="420"/>
        <w:rPr>
          <w:rFonts w:ascii="宋体" w:hAnsi="宋体" w:cs="仿宋_GB2312"/>
          <w:sz w:val="21"/>
          <w:szCs w:val="21"/>
        </w:rPr>
      </w:pPr>
      <w:r>
        <w:rPr>
          <w:rFonts w:hint="eastAsia" w:ascii="宋体" w:hAnsi="宋体" w:cs="仿宋_GB2312"/>
          <w:sz w:val="21"/>
          <w:szCs w:val="21"/>
        </w:rPr>
        <w:t>2.建立全校统一的教职工信息数据库，优化数据的采集和审核流程，提供快捷方便的数据查询和报表分析功能。</w:t>
      </w:r>
    </w:p>
    <w:p>
      <w:pPr>
        <w:pStyle w:val="193"/>
        <w:ind w:firstLine="420"/>
        <w:rPr>
          <w:rFonts w:ascii="宋体" w:hAnsi="宋体" w:cs="仿宋_GB2312"/>
          <w:sz w:val="21"/>
          <w:szCs w:val="21"/>
        </w:rPr>
      </w:pPr>
      <w:r>
        <w:rPr>
          <w:rFonts w:hint="eastAsia" w:ascii="宋体" w:hAnsi="宋体" w:cs="仿宋_GB2312"/>
          <w:sz w:val="21"/>
          <w:szCs w:val="21"/>
        </w:rPr>
        <w:t>3.逐步实现流程化办公，让工作人员从重复单调的事务性工作中解脱出来。</w:t>
      </w:r>
    </w:p>
    <w:p>
      <w:pPr>
        <w:spacing w:line="360" w:lineRule="auto"/>
        <w:rPr>
          <w:rFonts w:ascii="宋体" w:hAnsi="宋体" w:cs="仿宋_GB2312"/>
          <w:szCs w:val="21"/>
        </w:rPr>
      </w:pPr>
      <w:r>
        <w:rPr>
          <w:rFonts w:hint="eastAsia" w:ascii="宋体" w:hAnsi="宋体" w:cs="仿宋_GB2312"/>
          <w:szCs w:val="21"/>
        </w:rPr>
        <w:t>4.为做好每年的教职工统计工作，要和上级主管单位工作同步。人事系统要能完全兼容教育部各项数据采集统计，必须实现直接完成教育部统计数据的上报工作。</w:t>
      </w:r>
    </w:p>
    <w:p>
      <w:pPr>
        <w:pStyle w:val="2"/>
        <w:pageBreakBefore/>
        <w:widowControl/>
        <w:numPr>
          <w:ilvl w:val="0"/>
          <w:numId w:val="4"/>
        </w:numPr>
        <w:tabs>
          <w:tab w:val="left" w:pos="996"/>
        </w:tabs>
        <w:spacing w:line="240" w:lineRule="auto"/>
        <w:jc w:val="left"/>
        <w:rPr>
          <w:rFonts w:cs="仿宋_GB2312"/>
          <w:sz w:val="21"/>
          <w:szCs w:val="21"/>
        </w:rPr>
      </w:pPr>
      <w:bookmarkStart w:id="8" w:name="_Toc54164675"/>
      <w:r>
        <w:rPr>
          <w:rFonts w:cs="仿宋_GB2312"/>
          <w:sz w:val="21"/>
          <w:szCs w:val="21"/>
        </w:rPr>
        <w:t>技术要求</w:t>
      </w:r>
      <w:bookmarkEnd w:id="8"/>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1.平台采用成熟可靠的 J2EE架构体、B/S(浏览器/服务器)模式，数据交换采用XML、JSON技术，平台是可移植的，扩展性好的。</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2.该平台支持Windows、Linux操作平台；数据库支持Oracle、Sql Server；Web服务器支持WebLogic、Tomcat较新版本等。客户端兼容Microsoft edge、IE、Firefox、Chrome、Safari、360等主流浏览器，支持Android平台Opera、UC及IOS平台safari浏览器的各个版本。友好支持 PC、平板电脑、智能手机便捷操作。</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3.系统运行稳定可靠，充分考虑冗余问题，要在系统设计范围内保证随着系统数据量的增加，系统性能不出现显著下降。支持至少100个院系、部门的常量设立，支持超过100M大文件上传及断点续传。用户提交上传文件后具有回复响应机制。支持5000人同时在线，1000 人并发访问。在校园网内，一般时段网页响应时间不超过3秒；高峰时段（1000以上人数在线时）网页响应时间不超过8秒。对断电、硬件故障等突发事故有一定的灾难恢复能力，系统并发访问能力需提供第三方机构的检测报告。</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4.保证数据与学校主数据中心无缝对接，并提供安全策略及备份策略，系统需达到等级保护二级要求。系统符合学校的数据标准，以便规范地进行业务数据的采集、存储、传输、应用。</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pacing w:val="10"/>
          <w:szCs w:val="21"/>
        </w:rPr>
        <w:t>5.系统记录完整的用户操作变动（包括但不限于访问、修改、删除等）日志，具备日志跟踪与分析功能，提供丰富的查询方式，便于数据向上追溯。</w:t>
      </w:r>
      <w:r>
        <w:rPr>
          <w:rFonts w:ascii="宋体" w:hAnsi="宋体" w:cs="仿宋_GB2312"/>
          <w:spacing w:val="10"/>
          <w:szCs w:val="21"/>
        </w:rPr>
        <w:t>6、</w:t>
      </w:r>
      <w:r>
        <w:rPr>
          <w:rFonts w:hint="eastAsia" w:ascii="宋体" w:hAnsi="宋体" w:cs="仿宋_GB2312"/>
          <w:szCs w:val="21"/>
        </w:rPr>
        <w:t>人事系统</w:t>
      </w:r>
      <w:r>
        <w:rPr>
          <w:rFonts w:ascii="宋体" w:hAnsi="宋体" w:cs="仿宋_GB2312"/>
          <w:szCs w:val="21"/>
        </w:rPr>
        <w:t>投标人</w:t>
      </w:r>
      <w:r>
        <w:rPr>
          <w:rFonts w:hint="eastAsia" w:ascii="宋体" w:hAnsi="宋体" w:cs="仿宋_GB2312"/>
          <w:szCs w:val="21"/>
        </w:rPr>
        <w:t>需承诺免费开放数据库结构、提供完备的数据元数据（表，视图等）及详细注释、提供标准接口，能够按学校提出的对接要求，进行免费开发、部署、技术支持与维护，以实现与学校的主数据中心有效对接，避免成为信息孤岛。</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7、</w:t>
      </w:r>
      <w:r>
        <w:rPr>
          <w:rFonts w:ascii="宋体" w:hAnsi="宋体" w:cs="仿宋_GB2312"/>
          <w:spacing w:val="10"/>
          <w:szCs w:val="21"/>
        </w:rPr>
        <w:t>投标人</w:t>
      </w:r>
      <w:r>
        <w:rPr>
          <w:rFonts w:hint="eastAsia" w:ascii="宋体" w:hAnsi="宋体" w:cs="仿宋_GB2312"/>
          <w:spacing w:val="10"/>
          <w:szCs w:val="21"/>
        </w:rPr>
        <w:t>须派1名</w:t>
      </w:r>
      <w:r>
        <w:rPr>
          <w:rFonts w:ascii="宋体" w:hAnsi="宋体" w:cs="仿宋_GB2312"/>
          <w:spacing w:val="10"/>
          <w:szCs w:val="21"/>
        </w:rPr>
        <w:t>有人事信息化建设经验的</w:t>
      </w:r>
      <w:r>
        <w:rPr>
          <w:rFonts w:hint="eastAsia" w:ascii="宋体" w:hAnsi="宋体" w:cs="仿宋_GB2312"/>
          <w:spacing w:val="10"/>
          <w:szCs w:val="21"/>
        </w:rPr>
        <w:t>专业人员协助</w:t>
      </w:r>
      <w:r>
        <w:rPr>
          <w:rFonts w:ascii="宋体" w:hAnsi="宋体" w:cs="仿宋_GB2312"/>
          <w:spacing w:val="10"/>
          <w:szCs w:val="21"/>
        </w:rPr>
        <w:t>采购人</w:t>
      </w:r>
      <w:r>
        <w:rPr>
          <w:rFonts w:hint="eastAsia" w:ascii="宋体" w:hAnsi="宋体" w:cs="仿宋_GB2312"/>
          <w:spacing w:val="10"/>
          <w:szCs w:val="21"/>
        </w:rPr>
        <w:t>，</w:t>
      </w:r>
      <w:r>
        <w:rPr>
          <w:rFonts w:ascii="宋体" w:hAnsi="宋体" w:cs="仿宋_GB2312"/>
          <w:spacing w:val="10"/>
          <w:szCs w:val="21"/>
        </w:rPr>
        <w:t>根据</w:t>
      </w:r>
      <w:r>
        <w:rPr>
          <w:rFonts w:hint="eastAsia" w:ascii="宋体" w:hAnsi="宋体" w:cs="仿宋_GB2312"/>
          <w:spacing w:val="10"/>
          <w:szCs w:val="21"/>
        </w:rPr>
        <w:t>南京审计大学</w:t>
      </w:r>
      <w:r>
        <w:rPr>
          <w:rFonts w:ascii="宋体" w:hAnsi="宋体" w:cs="仿宋_GB2312"/>
          <w:spacing w:val="10"/>
          <w:szCs w:val="21"/>
        </w:rPr>
        <w:t>人事信息建设数据标准的要求对现有</w:t>
      </w:r>
      <w:r>
        <w:rPr>
          <w:rFonts w:hint="eastAsia" w:ascii="宋体" w:hAnsi="宋体" w:cs="仿宋_GB2312"/>
          <w:spacing w:val="10"/>
          <w:szCs w:val="21"/>
        </w:rPr>
        <w:t>人力资源部梳理的</w:t>
      </w:r>
      <w:r>
        <w:rPr>
          <w:rFonts w:ascii="宋体" w:hAnsi="宋体" w:cs="仿宋_GB2312"/>
          <w:spacing w:val="10"/>
          <w:szCs w:val="21"/>
        </w:rPr>
        <w:t>以纸质或电子文档等形式存在的人员基本信息、人事相关经历信息、考核信息等</w:t>
      </w:r>
      <w:r>
        <w:rPr>
          <w:rFonts w:hint="eastAsia" w:ascii="宋体" w:hAnsi="宋体" w:cs="仿宋_GB2312"/>
          <w:spacing w:val="10"/>
          <w:szCs w:val="21"/>
          <w:lang w:eastAsia="zh-Hans"/>
        </w:rPr>
        <w:t>，</w:t>
      </w:r>
      <w:r>
        <w:rPr>
          <w:rFonts w:hint="eastAsia" w:ascii="宋体" w:hAnsi="宋体" w:cs="仿宋_GB2312"/>
          <w:color w:val="000000" w:themeColor="text1"/>
          <w:spacing w:val="10"/>
          <w:szCs w:val="21"/>
          <w:lang w:eastAsia="zh-Hans"/>
        </w:rPr>
        <w:t>以及原人事系统中的历史数据</w:t>
      </w:r>
      <w:r>
        <w:rPr>
          <w:rFonts w:ascii="宋体" w:hAnsi="宋体" w:cs="仿宋_GB2312"/>
          <w:color w:val="000000" w:themeColor="text1"/>
          <w:spacing w:val="10"/>
          <w:szCs w:val="21"/>
        </w:rPr>
        <w:t>。进行数据分析治理并进行</w:t>
      </w:r>
      <w:r>
        <w:rPr>
          <w:rFonts w:hint="eastAsia" w:ascii="宋体" w:hAnsi="宋体" w:cs="仿宋_GB2312"/>
          <w:color w:val="000000" w:themeColor="text1"/>
          <w:spacing w:val="10"/>
          <w:szCs w:val="21"/>
        </w:rPr>
        <w:t>数据清洗</w:t>
      </w:r>
      <w:r>
        <w:rPr>
          <w:rFonts w:ascii="宋体" w:hAnsi="宋体" w:cs="仿宋_GB2312"/>
          <w:color w:val="000000" w:themeColor="text1"/>
          <w:spacing w:val="10"/>
          <w:szCs w:val="21"/>
        </w:rPr>
        <w:t>的</w:t>
      </w:r>
      <w:r>
        <w:rPr>
          <w:rFonts w:hint="eastAsia" w:ascii="宋体" w:hAnsi="宋体" w:cs="仿宋_GB2312"/>
          <w:color w:val="000000" w:themeColor="text1"/>
          <w:spacing w:val="10"/>
          <w:szCs w:val="21"/>
        </w:rPr>
        <w:t>工作，并负责将</w:t>
      </w:r>
      <w:r>
        <w:rPr>
          <w:rFonts w:ascii="宋体" w:hAnsi="宋体" w:cs="仿宋_GB2312"/>
          <w:color w:val="000000" w:themeColor="text1"/>
          <w:spacing w:val="10"/>
          <w:szCs w:val="21"/>
        </w:rPr>
        <w:t>治理</w:t>
      </w:r>
      <w:r>
        <w:rPr>
          <w:rFonts w:ascii="宋体" w:hAnsi="宋体" w:cs="仿宋_GB2312"/>
          <w:spacing w:val="10"/>
          <w:szCs w:val="21"/>
        </w:rPr>
        <w:t>、</w:t>
      </w:r>
      <w:r>
        <w:rPr>
          <w:rFonts w:hint="eastAsia" w:ascii="宋体" w:hAnsi="宋体" w:cs="仿宋_GB2312"/>
          <w:spacing w:val="10"/>
          <w:szCs w:val="21"/>
        </w:rPr>
        <w:t>清洗后的数据无损迁移到本期建设的人力资源管理信息系统</w:t>
      </w:r>
      <w:r>
        <w:rPr>
          <w:rFonts w:ascii="宋体" w:hAnsi="宋体" w:cs="仿宋_GB2312"/>
          <w:spacing w:val="10"/>
          <w:szCs w:val="21"/>
        </w:rPr>
        <w:t>中。</w:t>
      </w:r>
    </w:p>
    <w:p>
      <w:pPr>
        <w:pStyle w:val="159"/>
        <w:spacing w:line="360" w:lineRule="auto"/>
        <w:ind w:firstLine="420"/>
        <w:rPr>
          <w:rFonts w:hAnsi="宋体" w:cs="仿宋_GB2312"/>
          <w:spacing w:val="10"/>
          <w:sz w:val="21"/>
          <w:szCs w:val="21"/>
        </w:rPr>
      </w:pPr>
      <w:r>
        <w:rPr>
          <w:rFonts w:hAnsi="宋体" w:cs="仿宋_GB2312"/>
          <w:color w:val="auto"/>
          <w:spacing w:val="10"/>
          <w:kern w:val="2"/>
          <w:sz w:val="21"/>
          <w:szCs w:val="21"/>
        </w:rPr>
        <w:t>8</w:t>
      </w:r>
      <w:r>
        <w:rPr>
          <w:rFonts w:hint="eastAsia" w:hAnsi="宋体" w:cs="仿宋_GB2312"/>
          <w:color w:val="auto"/>
          <w:spacing w:val="10"/>
          <w:kern w:val="2"/>
          <w:sz w:val="21"/>
          <w:szCs w:val="21"/>
        </w:rPr>
        <w:t>、系统应支持强大的、灵活的应用访问及数据访问授权体系，支持但不限于按人、按角色、按类别授权和管理，数据访问控制至少要细化到部门级，支持用户权限的叠加操作，支持细粒度的功能操作权限控制（如添、删、改、查、审核等）。</w:t>
      </w:r>
    </w:p>
    <w:p>
      <w:pPr>
        <w:pStyle w:val="159"/>
        <w:spacing w:line="360" w:lineRule="auto"/>
        <w:ind w:firstLine="420"/>
        <w:rPr>
          <w:rFonts w:hAnsi="宋体" w:cs="仿宋_GB2312"/>
          <w:spacing w:val="10"/>
          <w:sz w:val="21"/>
          <w:szCs w:val="21"/>
        </w:rPr>
      </w:pPr>
      <w:r>
        <w:rPr>
          <w:rFonts w:hAnsi="宋体" w:cs="仿宋_GB2312"/>
          <w:color w:val="auto"/>
          <w:spacing w:val="10"/>
          <w:kern w:val="2"/>
          <w:sz w:val="21"/>
          <w:szCs w:val="21"/>
        </w:rPr>
        <w:t>9</w:t>
      </w:r>
      <w:r>
        <w:rPr>
          <w:rFonts w:hint="eastAsia" w:hAnsi="宋体" w:cs="仿宋_GB2312"/>
          <w:color w:val="auto"/>
          <w:spacing w:val="10"/>
          <w:kern w:val="2"/>
          <w:sz w:val="21"/>
          <w:szCs w:val="21"/>
        </w:rPr>
        <w:t>、系统应提供强大的导入导出功能，支持各类查询界面的数据导出功能。导入导出文档格式应支持excel、文本文件等；</w:t>
      </w:r>
    </w:p>
    <w:p>
      <w:pPr>
        <w:pStyle w:val="159"/>
        <w:spacing w:line="360" w:lineRule="auto"/>
        <w:ind w:firstLine="420"/>
        <w:rPr>
          <w:rFonts w:hAnsi="宋体" w:cs="仿宋_GB2312"/>
          <w:spacing w:val="10"/>
          <w:sz w:val="21"/>
          <w:szCs w:val="21"/>
        </w:rPr>
      </w:pPr>
      <w:r>
        <w:rPr>
          <w:rFonts w:hint="eastAsia" w:hAnsi="宋体" w:cs="仿宋_GB2312"/>
          <w:color w:val="auto"/>
          <w:spacing w:val="10"/>
          <w:kern w:val="2"/>
          <w:sz w:val="21"/>
          <w:szCs w:val="21"/>
        </w:rPr>
        <w:t>1</w:t>
      </w:r>
      <w:r>
        <w:rPr>
          <w:rFonts w:hAnsi="宋体" w:cs="仿宋_GB2312"/>
          <w:color w:val="auto"/>
          <w:spacing w:val="10"/>
          <w:kern w:val="2"/>
          <w:sz w:val="21"/>
          <w:szCs w:val="21"/>
        </w:rPr>
        <w:t>0</w:t>
      </w:r>
      <w:r>
        <w:rPr>
          <w:rFonts w:hint="eastAsia" w:hAnsi="宋体" w:cs="仿宋_GB2312"/>
          <w:color w:val="auto"/>
          <w:spacing w:val="10"/>
          <w:kern w:val="2"/>
          <w:sz w:val="21"/>
          <w:szCs w:val="21"/>
        </w:rPr>
        <w:t>、系统应提供强大的元数据配置功能，支持用户自定义数据字段，并纳入管理和检索，以增加系统的扩展性和适应性；</w:t>
      </w:r>
    </w:p>
    <w:p>
      <w:pPr>
        <w:pStyle w:val="159"/>
        <w:spacing w:line="360" w:lineRule="auto"/>
        <w:ind w:firstLine="420"/>
        <w:rPr>
          <w:rFonts w:hAnsi="宋体" w:cs="仿宋_GB2312"/>
          <w:spacing w:val="10"/>
          <w:sz w:val="21"/>
          <w:szCs w:val="21"/>
        </w:rPr>
      </w:pPr>
      <w:r>
        <w:rPr>
          <w:rFonts w:hint="eastAsia" w:hAnsi="宋体" w:cs="仿宋_GB2312"/>
          <w:color w:val="auto"/>
          <w:spacing w:val="10"/>
          <w:kern w:val="2"/>
          <w:sz w:val="21"/>
          <w:szCs w:val="21"/>
        </w:rPr>
        <w:t>1</w:t>
      </w:r>
      <w:r>
        <w:rPr>
          <w:rFonts w:hAnsi="宋体" w:cs="仿宋_GB2312"/>
          <w:color w:val="auto"/>
          <w:spacing w:val="10"/>
          <w:kern w:val="2"/>
          <w:sz w:val="21"/>
          <w:szCs w:val="21"/>
        </w:rPr>
        <w:t>1</w:t>
      </w:r>
      <w:r>
        <w:rPr>
          <w:rFonts w:hint="eastAsia" w:hAnsi="宋体" w:cs="仿宋_GB2312"/>
          <w:color w:val="auto"/>
          <w:spacing w:val="10"/>
          <w:kern w:val="2"/>
          <w:sz w:val="21"/>
          <w:szCs w:val="21"/>
        </w:rPr>
        <w:t>、系统各类消息推送应支持企业微信、短信、企业邮箱发送，具体发送方式人力资源部可灵活设置一个或多个；</w:t>
      </w:r>
    </w:p>
    <w:p>
      <w:pPr>
        <w:pStyle w:val="159"/>
        <w:spacing w:line="360" w:lineRule="auto"/>
        <w:ind w:firstLine="420"/>
        <w:rPr>
          <w:rFonts w:hAnsi="宋体" w:cs="仿宋_GB2312"/>
          <w:spacing w:val="10"/>
          <w:sz w:val="21"/>
          <w:szCs w:val="21"/>
        </w:rPr>
      </w:pPr>
      <w:r>
        <w:rPr>
          <w:rFonts w:hint="eastAsia" w:hAnsi="宋体" w:cs="仿宋_GB2312"/>
          <w:color w:val="auto"/>
          <w:spacing w:val="10"/>
          <w:kern w:val="2"/>
          <w:sz w:val="21"/>
          <w:szCs w:val="21"/>
        </w:rPr>
        <w:t>1</w:t>
      </w:r>
      <w:r>
        <w:rPr>
          <w:rFonts w:hAnsi="宋体" w:cs="仿宋_GB2312"/>
          <w:color w:val="auto"/>
          <w:spacing w:val="10"/>
          <w:kern w:val="2"/>
          <w:sz w:val="21"/>
          <w:szCs w:val="21"/>
        </w:rPr>
        <w:t>2</w:t>
      </w:r>
      <w:r>
        <w:rPr>
          <w:rFonts w:hint="eastAsia" w:hAnsi="宋体" w:cs="仿宋_GB2312"/>
          <w:color w:val="auto"/>
          <w:spacing w:val="10"/>
          <w:kern w:val="2"/>
          <w:sz w:val="21"/>
          <w:szCs w:val="21"/>
        </w:rPr>
        <w:t>、系统应提供强大的信息检索功能，支持自定义检索字段，支持自定义多字段复合检索，支持精确检索和模糊匹配，支持查询结果的导出。</w:t>
      </w:r>
    </w:p>
    <w:p>
      <w:pPr>
        <w:pStyle w:val="2"/>
        <w:pageBreakBefore/>
        <w:widowControl/>
        <w:numPr>
          <w:ilvl w:val="0"/>
          <w:numId w:val="4"/>
        </w:numPr>
        <w:spacing w:line="360" w:lineRule="auto"/>
        <w:ind w:left="432" w:hanging="432"/>
        <w:jc w:val="left"/>
        <w:rPr>
          <w:rFonts w:ascii="宋体" w:hAnsi="宋体" w:cs="仿宋_GB2312"/>
          <w:sz w:val="21"/>
          <w:szCs w:val="21"/>
        </w:rPr>
      </w:pPr>
      <w:bookmarkStart w:id="9" w:name="_Toc54164676"/>
      <w:r>
        <w:rPr>
          <w:rFonts w:ascii="宋体" w:hAnsi="宋体" w:cs="仿宋_GB2312"/>
          <w:sz w:val="21"/>
          <w:szCs w:val="21"/>
        </w:rPr>
        <w:t>集成要求</w:t>
      </w:r>
      <w:bookmarkEnd w:id="9"/>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为避免信息孤岛，需将系统和学校数字化校园平台及相关业务系统进行整合集成，包括身份认证集成、信息门户集成、业务数据集成等，并能和学校现有老系统实现无缝对接，实现数据和功能的完整迁移。系统集成需按学校统一的集成标准和接口规范完成。</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1.统一身份认证</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实现系统与学校统一身份认证的集成，实现单点登录。</w:t>
      </w:r>
    </w:p>
    <w:p>
      <w:pPr>
        <w:numPr>
          <w:ilvl w:val="0"/>
          <w:numId w:val="5"/>
        </w:numPr>
        <w:snapToGrid w:val="0"/>
        <w:spacing w:line="360" w:lineRule="auto"/>
        <w:ind w:left="0" w:firstLine="431"/>
        <w:rPr>
          <w:rFonts w:ascii="宋体" w:hAnsi="宋体" w:cs="仿宋_GB2312"/>
          <w:color w:val="000000" w:themeColor="text1"/>
          <w:spacing w:val="10"/>
          <w:szCs w:val="21"/>
        </w:rPr>
      </w:pPr>
      <w:r>
        <w:rPr>
          <w:rFonts w:hint="eastAsia" w:ascii="宋体" w:hAnsi="宋体" w:cs="仿宋_GB2312"/>
          <w:color w:val="000000" w:themeColor="text1"/>
          <w:spacing w:val="10"/>
          <w:szCs w:val="21"/>
        </w:rPr>
        <w:t>2.门户集成</w:t>
      </w:r>
    </w:p>
    <w:p>
      <w:pPr>
        <w:numPr>
          <w:ilvl w:val="0"/>
          <w:numId w:val="5"/>
        </w:numPr>
        <w:snapToGrid w:val="0"/>
        <w:spacing w:line="360" w:lineRule="auto"/>
        <w:ind w:left="0" w:firstLine="431"/>
        <w:rPr>
          <w:rFonts w:ascii="宋体" w:hAnsi="宋体" w:cs="仿宋_GB2312"/>
          <w:color w:val="000000" w:themeColor="text1"/>
          <w:spacing w:val="10"/>
          <w:szCs w:val="21"/>
        </w:rPr>
      </w:pPr>
      <w:r>
        <w:rPr>
          <w:rFonts w:hint="eastAsia" w:ascii="宋体" w:hAnsi="宋体" w:cs="仿宋_GB2312"/>
          <w:color w:val="000000" w:themeColor="text1"/>
          <w:spacing w:val="10"/>
          <w:szCs w:val="21"/>
        </w:rPr>
        <w:t>系统</w:t>
      </w:r>
      <w:r>
        <w:rPr>
          <w:rFonts w:hint="eastAsia" w:ascii="宋体" w:hAnsi="宋体" w:cs="仿宋_GB2312"/>
          <w:color w:val="000000" w:themeColor="text1"/>
          <w:spacing w:val="10"/>
          <w:szCs w:val="21"/>
          <w:lang w:eastAsia="zh-Hans"/>
        </w:rPr>
        <w:t>支持</w:t>
      </w:r>
      <w:r>
        <w:rPr>
          <w:rFonts w:hint="eastAsia" w:ascii="宋体" w:hAnsi="宋体" w:cs="仿宋_GB2312"/>
          <w:color w:val="000000" w:themeColor="text1"/>
          <w:spacing w:val="10"/>
          <w:szCs w:val="21"/>
        </w:rPr>
        <w:t>与学校统一信息门户的集成，将通知、待办提醒等信息集成到门户页面，在门户放置快速通道登录系统等。</w:t>
      </w:r>
    </w:p>
    <w:p>
      <w:pPr>
        <w:numPr>
          <w:ilvl w:val="0"/>
          <w:numId w:val="5"/>
        </w:numPr>
        <w:snapToGrid w:val="0"/>
        <w:spacing w:line="360" w:lineRule="auto"/>
        <w:ind w:left="0" w:firstLine="431"/>
        <w:rPr>
          <w:rFonts w:ascii="宋体" w:hAnsi="宋体" w:cs="仿宋_GB2312"/>
          <w:color w:val="000000" w:themeColor="text1"/>
          <w:spacing w:val="10"/>
          <w:szCs w:val="21"/>
        </w:rPr>
      </w:pPr>
      <w:r>
        <w:rPr>
          <w:rFonts w:hint="eastAsia" w:ascii="宋体" w:hAnsi="宋体" w:cs="仿宋_GB2312"/>
          <w:color w:val="000000" w:themeColor="text1"/>
          <w:spacing w:val="10"/>
          <w:szCs w:val="21"/>
        </w:rPr>
        <w:t>3.一站式服务大厅集成</w:t>
      </w:r>
    </w:p>
    <w:p>
      <w:pPr>
        <w:numPr>
          <w:ilvl w:val="0"/>
          <w:numId w:val="5"/>
        </w:numPr>
        <w:snapToGrid w:val="0"/>
        <w:spacing w:line="360" w:lineRule="auto"/>
        <w:ind w:left="0" w:firstLine="431"/>
        <w:rPr>
          <w:rFonts w:ascii="宋体" w:hAnsi="宋体" w:cs="仿宋_GB2312"/>
          <w:color w:val="000000" w:themeColor="text1"/>
          <w:spacing w:val="10"/>
          <w:szCs w:val="21"/>
        </w:rPr>
      </w:pPr>
      <w:r>
        <w:rPr>
          <w:rFonts w:hint="eastAsia" w:ascii="宋体" w:hAnsi="宋体" w:cs="仿宋_GB2312"/>
          <w:color w:val="000000" w:themeColor="text1"/>
          <w:spacing w:val="10"/>
          <w:szCs w:val="21"/>
        </w:rPr>
        <w:t>系统</w:t>
      </w:r>
      <w:r>
        <w:rPr>
          <w:rFonts w:hint="eastAsia" w:ascii="宋体" w:hAnsi="宋体" w:cs="仿宋_GB2312"/>
          <w:color w:val="000000" w:themeColor="text1"/>
          <w:spacing w:val="10"/>
          <w:szCs w:val="21"/>
          <w:lang w:eastAsia="zh-Hans"/>
        </w:rPr>
        <w:t>支持</w:t>
      </w:r>
      <w:r>
        <w:rPr>
          <w:rFonts w:hint="eastAsia" w:ascii="宋体" w:hAnsi="宋体" w:cs="仿宋_GB2312"/>
          <w:color w:val="000000" w:themeColor="text1"/>
          <w:spacing w:val="10"/>
          <w:szCs w:val="21"/>
        </w:rPr>
        <w:t>与学校一站式服务大厅的深度集成，实现教职工的体验一致性，根据门户服务大厅的对接要求按需实现人事业务流程与门户办事大厅的无缝对接。</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4.数据交换集成</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数据集成包括数据共享和数据同步，一方面可将人事信息共享给学校数据中心，另一方面可从学校数据中心或相关业务系统中同步教学、科研</w:t>
      </w:r>
      <w:r>
        <w:rPr>
          <w:rFonts w:hint="eastAsia" w:ascii="宋体" w:hAnsi="宋体" w:cs="仿宋_GB2312"/>
          <w:spacing w:val="10"/>
          <w:szCs w:val="21"/>
          <w:lang w:eastAsia="zh-Hans"/>
        </w:rPr>
        <w:t>、财务</w:t>
      </w:r>
      <w:r>
        <w:rPr>
          <w:rFonts w:hint="eastAsia" w:ascii="宋体" w:hAnsi="宋体" w:cs="仿宋_GB2312"/>
          <w:spacing w:val="10"/>
          <w:szCs w:val="21"/>
        </w:rPr>
        <w:t>等业务数据，从而实现数据交换功能。数据集成需支持开放数据视图、实现JSON,WebService接口等多种方式。</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5.移动应用集成</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实现系统与学校企业微信平台的集成，为教职工提供更加便捷的服务。</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6.自助服务终端集成</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实现系统与自助打印等服务终端的集成，支持账号、扫码登录等多种方式，实现系统对打印设备状态的监控及远程提醒功能（如墨盒缺墨，纸盒缺纸提醒）等。</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7.数据标准</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系统数据代码编码参照</w:t>
      </w:r>
      <w:r>
        <w:rPr>
          <w:rFonts w:ascii="宋体" w:hAnsi="宋体" w:cs="仿宋_GB2312"/>
          <w:spacing w:val="10"/>
          <w:szCs w:val="21"/>
        </w:rPr>
        <w:t>国家人事信息化建设标准</w:t>
      </w:r>
      <w:r>
        <w:rPr>
          <w:rFonts w:hint="eastAsia" w:ascii="宋体" w:hAnsi="宋体" w:cs="仿宋_GB2312"/>
          <w:spacing w:val="10"/>
          <w:szCs w:val="21"/>
        </w:rPr>
        <w:t>、教育部发布的教育管理基础代码（JY/T 1001—2012）文档以及南京审计大学数据标准</w:t>
      </w:r>
      <w:r>
        <w:rPr>
          <w:rFonts w:ascii="宋体" w:hAnsi="宋体" w:cs="仿宋_GB2312"/>
          <w:spacing w:val="10"/>
          <w:szCs w:val="21"/>
        </w:rPr>
        <w:t>的基础上，</w:t>
      </w:r>
      <w:r>
        <w:rPr>
          <w:rFonts w:hint="eastAsia" w:ascii="宋体" w:hAnsi="宋体" w:cs="仿宋_GB2312"/>
          <w:spacing w:val="10"/>
          <w:szCs w:val="21"/>
        </w:rPr>
        <w:t>系统数据可满足南京审计大学</w:t>
      </w:r>
      <w:r>
        <w:rPr>
          <w:rFonts w:ascii="宋体" w:hAnsi="宋体" w:cs="仿宋_GB2312"/>
          <w:spacing w:val="10"/>
          <w:szCs w:val="21"/>
        </w:rPr>
        <w:t>人事信息建设数据标准</w:t>
      </w:r>
      <w:r>
        <w:rPr>
          <w:rFonts w:hint="eastAsia" w:ascii="宋体" w:hAnsi="宋体" w:cs="仿宋_GB2312"/>
          <w:spacing w:val="10"/>
          <w:szCs w:val="21"/>
        </w:rPr>
        <w:t>的需求。</w:t>
      </w:r>
    </w:p>
    <w:p>
      <w:pPr>
        <w:pStyle w:val="2"/>
        <w:pageBreakBefore/>
        <w:widowControl/>
        <w:numPr>
          <w:ilvl w:val="0"/>
          <w:numId w:val="4"/>
        </w:numPr>
        <w:spacing w:line="360" w:lineRule="auto"/>
        <w:ind w:left="432" w:hanging="432"/>
        <w:jc w:val="left"/>
        <w:rPr>
          <w:rFonts w:ascii="宋体" w:hAnsi="宋体" w:cs="仿宋_GB2312"/>
          <w:sz w:val="21"/>
          <w:szCs w:val="21"/>
        </w:rPr>
      </w:pPr>
      <w:bookmarkStart w:id="10" w:name="_Toc54164677"/>
      <w:r>
        <w:rPr>
          <w:rFonts w:hint="eastAsia" w:ascii="宋体" w:hAnsi="宋体" w:cs="仿宋_GB2312"/>
          <w:sz w:val="21"/>
          <w:szCs w:val="21"/>
        </w:rPr>
        <w:t>项目建设具体技术需求参数</w:t>
      </w:r>
      <w:bookmarkEnd w:id="10"/>
    </w:p>
    <w:p>
      <w:pPr>
        <w:pStyle w:val="3"/>
        <w:numPr>
          <w:ilvl w:val="0"/>
          <w:numId w:val="0"/>
        </w:numPr>
        <w:spacing w:before="0" w:after="0" w:line="360" w:lineRule="auto"/>
        <w:rPr>
          <w:rFonts w:ascii="宋体" w:hAnsi="宋体" w:cs="仿宋_GB2312"/>
          <w:sz w:val="21"/>
          <w:szCs w:val="21"/>
        </w:rPr>
      </w:pPr>
      <w:bookmarkStart w:id="11" w:name="_Toc54164678"/>
      <w:r>
        <w:rPr>
          <w:rFonts w:hint="eastAsia" w:ascii="宋体" w:hAnsi="宋体" w:cs="仿宋_GB2312"/>
          <w:sz w:val="21"/>
          <w:szCs w:val="21"/>
        </w:rPr>
        <w:t>4</w:t>
      </w:r>
      <w:r>
        <w:rPr>
          <w:rFonts w:ascii="宋体" w:hAnsi="宋体" w:cs="仿宋_GB2312"/>
          <w:sz w:val="21"/>
          <w:szCs w:val="21"/>
        </w:rPr>
        <w:t>.1</w:t>
      </w:r>
      <w:r>
        <w:rPr>
          <w:rFonts w:hint="eastAsia" w:ascii="宋体" w:hAnsi="宋体" w:cs="仿宋_GB2312"/>
          <w:sz w:val="21"/>
          <w:szCs w:val="21"/>
        </w:rPr>
        <w:t>人事管理系统</w:t>
      </w:r>
      <w:bookmarkEnd w:id="11"/>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组织机构管理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机构设置</w:t>
      </w:r>
    </w:p>
    <w:p>
      <w:pPr>
        <w:spacing w:line="360" w:lineRule="auto"/>
        <w:ind w:firstLine="420"/>
        <w:rPr>
          <w:rFonts w:ascii="宋体" w:hAnsi="宋体" w:cs="仿宋_GB2312"/>
          <w:szCs w:val="21"/>
        </w:rPr>
      </w:pPr>
      <w:r>
        <w:rPr>
          <w:rFonts w:hint="eastAsia" w:ascii="宋体" w:hAnsi="宋体" w:cs="仿宋_GB2312"/>
          <w:szCs w:val="21"/>
        </w:rPr>
        <w:t>组织架构支持无限极树形目录结构方式存储，实现学校组织机构分类及新增、更名、撤销、拆分、合并等功能；机构基本信息能够进行编辑、查看；直观展现组织机构树形结构图，并可导出至Office文档；提供分析查询某个部门的历史变动情况、某个职工的部门变动的记录。</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编制与岗位管理</w:t>
      </w:r>
    </w:p>
    <w:p>
      <w:pPr>
        <w:spacing w:line="360" w:lineRule="auto"/>
        <w:ind w:firstLine="420"/>
        <w:rPr>
          <w:rFonts w:ascii="宋体" w:hAnsi="宋体" w:cs="仿宋_GB2312"/>
          <w:szCs w:val="21"/>
        </w:rPr>
      </w:pPr>
      <w:r>
        <w:rPr>
          <w:rFonts w:hint="eastAsia" w:ascii="宋体" w:hAnsi="宋体" w:cs="仿宋_GB2312"/>
          <w:szCs w:val="21"/>
        </w:rPr>
        <w:t>实现设置与维护全校编制和岗位、岗级、各单位编制和岗位、岗级；查看各部门现有的编制和岗位类别和数目、以及缺编（岗）/超编（岗）数目，部门超编（岗）/缺编（岗）自动预警。</w:t>
      </w:r>
    </w:p>
    <w:p>
      <w:pPr>
        <w:spacing w:line="360" w:lineRule="auto"/>
        <w:rPr>
          <w:rFonts w:ascii="宋体" w:hAnsi="宋体" w:cs="仿宋_GB2312"/>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教职工信息管理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教职工信息库</w:t>
      </w:r>
    </w:p>
    <w:p>
      <w:pPr>
        <w:spacing w:line="360" w:lineRule="auto"/>
        <w:ind w:firstLine="420"/>
        <w:rPr>
          <w:rFonts w:ascii="宋体" w:hAnsi="宋体" w:cs="仿宋_GB2312"/>
          <w:szCs w:val="21"/>
        </w:rPr>
      </w:pPr>
      <w:r>
        <w:rPr>
          <w:rFonts w:hint="eastAsia" w:ascii="宋体" w:hAnsi="宋体" w:cs="仿宋_GB2312"/>
          <w:szCs w:val="21"/>
        </w:rPr>
        <w:t>建立全校统一的教职工信息库，包括在职人员(事业编、非事业编、兼职、临时、外聘等)、调出/入人员、离退人员和去世人员库，支持教职工分部门，分类别授权管理功能。教职工信息由基本信息和一系列信息子集组成，包括学习经历、岗位聘任、行政职务、专业技术职务、国（境）外留学或工作经历、培养培训、政治面貌、亲属关系、合同信息、单位（岗位）异动、考勤管理、考核管理、薪酬社保待遇、档案管理、电子干部履历表管理等，并能整合教职工的教学、科研等方面的业务数据，实现教职工信息360 度全方位的信息管理。教职工信息及其信息子集支持自定义字段的新增和删除功能。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教职工信息修改</w:t>
      </w:r>
    </w:p>
    <w:p>
      <w:pPr>
        <w:spacing w:line="360" w:lineRule="auto"/>
        <w:ind w:firstLine="420"/>
        <w:rPr>
          <w:rFonts w:ascii="宋体" w:hAnsi="宋体" w:cs="仿宋_GB2312"/>
          <w:szCs w:val="21"/>
        </w:rPr>
      </w:pPr>
      <w:r>
        <w:rPr>
          <w:rFonts w:hint="eastAsia" w:ascii="宋体" w:hAnsi="宋体" w:cs="仿宋_GB2312"/>
          <w:szCs w:val="21"/>
        </w:rPr>
        <w:t>教职工基本信息和相关信息子集，均可开放给教职工个人修改，数据的修改应细化到字段级，可以自定义可修改字段信息；对于和系统相关的信息，支持与数据中心同步；提供支撑材料影像文件上传归档功能。须手机扫描二维码上传附件；支持与高拍仪的对接，能够将文件直接扫描录入系统。附件格式不限。</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教职工信息审核</w:t>
      </w:r>
    </w:p>
    <w:p>
      <w:pPr>
        <w:spacing w:line="360" w:lineRule="auto"/>
        <w:ind w:firstLine="420"/>
        <w:rPr>
          <w:rFonts w:ascii="宋体" w:hAnsi="宋体" w:cs="仿宋_GB2312"/>
          <w:szCs w:val="21"/>
        </w:rPr>
      </w:pPr>
      <w:r>
        <w:rPr>
          <w:rFonts w:hint="eastAsia" w:ascii="宋体" w:hAnsi="宋体" w:cs="仿宋_GB2312"/>
          <w:szCs w:val="21"/>
        </w:rPr>
        <w:t>教职工基本信息和相关信息子集，均可由二级单位和人事处审核，审核通过后修改内容才会生效。审核时，可以按字段审核通过或不通过。</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教职工信息查询统计</w:t>
      </w:r>
    </w:p>
    <w:p>
      <w:pPr>
        <w:spacing w:line="360" w:lineRule="auto"/>
        <w:ind w:firstLine="420"/>
        <w:rPr>
          <w:rFonts w:ascii="宋体" w:hAnsi="宋体" w:cs="仿宋_GB2312"/>
          <w:szCs w:val="21"/>
        </w:rPr>
      </w:pPr>
      <w:r>
        <w:rPr>
          <w:rFonts w:hint="eastAsia" w:ascii="宋体" w:hAnsi="宋体" w:cs="仿宋_GB2312"/>
          <w:szCs w:val="21"/>
        </w:rPr>
        <w:t>实现机构、编制及教职工信息的模糊查询、精准查询等多种查询方式与统计结果。可灵活组织查询条件，常用查询条件可以自主定制保存。查询统计结果可导出为excel文件。系统支持自定义制作柱状图、饼状图等图形类统计分析。</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教职工信息导入导出</w:t>
      </w:r>
    </w:p>
    <w:p>
      <w:pPr>
        <w:spacing w:line="360" w:lineRule="auto"/>
        <w:ind w:firstLine="420"/>
        <w:rPr>
          <w:rFonts w:ascii="宋体" w:hAnsi="宋体" w:cs="仿宋_GB2312"/>
          <w:szCs w:val="21"/>
        </w:rPr>
      </w:pPr>
      <w:r>
        <w:rPr>
          <w:rFonts w:hint="eastAsia" w:ascii="宋体" w:hAnsi="宋体" w:cs="仿宋_GB2312"/>
          <w:szCs w:val="21"/>
        </w:rPr>
        <w:t>系统支持EXCEL文件内数据粘贴导入功能。导入数据时，可灵活定义导入字段，支持校验导入数据码表。导出数据时，可灵活选择导出数据范围和字段。</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花名册管理</w:t>
      </w:r>
    </w:p>
    <w:p>
      <w:pPr>
        <w:spacing w:line="360" w:lineRule="auto"/>
        <w:ind w:firstLine="420"/>
        <w:rPr>
          <w:rFonts w:ascii="宋体" w:hAnsi="宋体" w:cs="仿宋_GB2312"/>
          <w:szCs w:val="21"/>
        </w:rPr>
      </w:pPr>
      <w:r>
        <w:rPr>
          <w:rFonts w:hint="eastAsia" w:ascii="宋体" w:hAnsi="宋体" w:cs="仿宋_GB2312"/>
          <w:szCs w:val="21"/>
        </w:rPr>
        <w:t>可灵活设置常用人员名册，包括设置查询范围、显示字段、排序字段等条件。保存好的人员名册，可一键调出想要的人员名单，花名册可以导出excel文件和打印。</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人事异动管理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入职管理</w:t>
      </w:r>
    </w:p>
    <w:p>
      <w:pPr>
        <w:spacing w:line="360" w:lineRule="auto"/>
        <w:ind w:firstLine="420"/>
        <w:rPr>
          <w:rFonts w:ascii="宋体" w:hAnsi="宋体" w:cs="仿宋_GB2312"/>
          <w:szCs w:val="21"/>
        </w:rPr>
      </w:pPr>
      <w:r>
        <w:rPr>
          <w:rFonts w:hint="eastAsia" w:ascii="宋体" w:hAnsi="宋体" w:cs="仿宋_GB2312"/>
          <w:szCs w:val="21"/>
        </w:rPr>
        <w:t>经学校审批同意的聘用人选，根据学校入职流程要求制定入职流程在线办理入职，生成工号，进行系统入职。</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离校管理</w:t>
      </w:r>
    </w:p>
    <w:p>
      <w:pPr>
        <w:numPr>
          <w:ilvl w:val="0"/>
          <w:numId w:val="6"/>
        </w:numPr>
        <w:spacing w:line="360" w:lineRule="auto"/>
        <w:ind w:firstLine="420"/>
        <w:rPr>
          <w:rFonts w:ascii="宋体" w:hAnsi="宋体" w:cs="仿宋_GB2312"/>
          <w:szCs w:val="21"/>
        </w:rPr>
      </w:pPr>
      <w:r>
        <w:rPr>
          <w:rFonts w:hint="eastAsia" w:ascii="宋体" w:hAnsi="宋体" w:cs="仿宋_GB2312"/>
          <w:szCs w:val="21"/>
        </w:rPr>
        <w:t>根据合同终止或解除的审批结果，发起离校流程。</w:t>
      </w:r>
    </w:p>
    <w:p>
      <w:pPr>
        <w:numPr>
          <w:ilvl w:val="0"/>
          <w:numId w:val="6"/>
        </w:numPr>
        <w:spacing w:line="360" w:lineRule="auto"/>
        <w:ind w:firstLine="420"/>
        <w:rPr>
          <w:rFonts w:ascii="宋体" w:hAnsi="宋体" w:cs="仿宋_GB2312"/>
          <w:szCs w:val="21"/>
        </w:rPr>
      </w:pPr>
      <w:r>
        <w:rPr>
          <w:rFonts w:hint="eastAsia" w:ascii="宋体" w:hAnsi="宋体" w:cs="仿宋_GB2312"/>
          <w:szCs w:val="21"/>
        </w:rPr>
        <w:t>打印离职证明。系统记录离校时间、离校途径、离校去向、离校原因等信息。离校手续完成后，教职工信息从在职人员库转入离校人员库，对人员状态、工资状态、社保状态、账号状态等进行相关调整。</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校内调动</w:t>
      </w:r>
    </w:p>
    <w:p>
      <w:pPr>
        <w:numPr>
          <w:ilvl w:val="0"/>
          <w:numId w:val="7"/>
        </w:numPr>
        <w:spacing w:line="360" w:lineRule="auto"/>
        <w:ind w:firstLine="420"/>
        <w:rPr>
          <w:rFonts w:ascii="宋体" w:hAnsi="宋体" w:cs="仿宋_GB2312"/>
          <w:szCs w:val="21"/>
        </w:rPr>
      </w:pPr>
      <w:r>
        <w:rPr>
          <w:rFonts w:hint="eastAsia" w:ascii="宋体" w:hAnsi="宋体" w:cs="仿宋_GB2312"/>
          <w:szCs w:val="21"/>
        </w:rPr>
        <w:t>教职工可在线填写学校校内调动情况表，或者用人院系人事秘书提报用人需求报相关领导审批。</w:t>
      </w:r>
    </w:p>
    <w:p>
      <w:pPr>
        <w:numPr>
          <w:ilvl w:val="0"/>
          <w:numId w:val="7"/>
        </w:numPr>
        <w:spacing w:line="360" w:lineRule="auto"/>
        <w:ind w:firstLine="420"/>
        <w:rPr>
          <w:rFonts w:ascii="宋体" w:hAnsi="宋体" w:cs="仿宋_GB2312"/>
          <w:szCs w:val="21"/>
        </w:rPr>
      </w:pPr>
      <w:r>
        <w:rPr>
          <w:rFonts w:hint="eastAsia" w:ascii="宋体" w:hAnsi="宋体" w:cs="仿宋_GB2312"/>
          <w:szCs w:val="21"/>
        </w:rPr>
        <w:t>主管部门及校领导审批确认。</w:t>
      </w:r>
    </w:p>
    <w:p>
      <w:pPr>
        <w:numPr>
          <w:ilvl w:val="0"/>
          <w:numId w:val="7"/>
        </w:numPr>
        <w:spacing w:line="360" w:lineRule="auto"/>
        <w:ind w:firstLine="420"/>
        <w:rPr>
          <w:rFonts w:ascii="宋体" w:hAnsi="宋体" w:cs="仿宋_GB2312"/>
          <w:szCs w:val="21"/>
        </w:rPr>
      </w:pPr>
      <w:r>
        <w:rPr>
          <w:rFonts w:hint="eastAsia" w:ascii="宋体" w:hAnsi="宋体" w:cs="仿宋_GB2312"/>
          <w:szCs w:val="21"/>
        </w:rPr>
        <w:t>系统自动提醒调入部门填写意见、确认调入后，系统通知人员到新部门报道。</w:t>
      </w:r>
    </w:p>
    <w:p>
      <w:pPr>
        <w:numPr>
          <w:ilvl w:val="0"/>
          <w:numId w:val="7"/>
        </w:numPr>
        <w:spacing w:line="360" w:lineRule="auto"/>
        <w:ind w:firstLine="420"/>
        <w:rPr>
          <w:rFonts w:ascii="宋体" w:hAnsi="宋体" w:cs="仿宋_GB2312"/>
          <w:szCs w:val="21"/>
        </w:rPr>
      </w:pPr>
      <w:r>
        <w:rPr>
          <w:rFonts w:hint="eastAsia" w:ascii="宋体" w:hAnsi="宋体" w:cs="仿宋_GB2312"/>
          <w:szCs w:val="21"/>
        </w:rPr>
        <w:t>审批确认后，系统自动提醒人事处办理相关手续，信息自动入库，并进行人事档案备案。</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退休管理</w:t>
      </w:r>
    </w:p>
    <w:p>
      <w:pPr>
        <w:spacing w:line="360" w:lineRule="auto"/>
        <w:ind w:firstLine="420"/>
        <w:rPr>
          <w:rFonts w:ascii="宋体" w:hAnsi="宋体" w:cs="仿宋_GB2312"/>
          <w:szCs w:val="21"/>
        </w:rPr>
      </w:pPr>
      <w:r>
        <w:rPr>
          <w:rFonts w:hint="eastAsia" w:ascii="宋体" w:hAnsi="宋体" w:cs="仿宋_GB2312"/>
          <w:szCs w:val="21"/>
        </w:rPr>
        <w:t>系统支持灵活设置离退休年龄规则，自动筛选离退人员名单，并提醒近期退休人员可批量进行离退休登记。</w:t>
      </w:r>
    </w:p>
    <w:p>
      <w:pPr>
        <w:numPr>
          <w:ilvl w:val="0"/>
          <w:numId w:val="8"/>
        </w:numPr>
        <w:spacing w:line="360" w:lineRule="auto"/>
        <w:ind w:firstLine="420"/>
        <w:rPr>
          <w:rFonts w:ascii="宋体" w:hAnsi="宋体" w:cs="仿宋_GB2312"/>
          <w:szCs w:val="21"/>
        </w:rPr>
      </w:pPr>
      <w:r>
        <w:rPr>
          <w:rFonts w:hint="eastAsia" w:ascii="宋体" w:hAnsi="宋体" w:cs="仿宋_GB2312"/>
          <w:szCs w:val="21"/>
        </w:rPr>
        <w:t>离退休提醒：根据离退休规则设置，自动计算教职工的离退休日期，并提前提醒相关人员办理相关手续。如已办理延迟退休的，则以延迟退休截止日期为准进行提醒。</w:t>
      </w:r>
    </w:p>
    <w:p>
      <w:pPr>
        <w:numPr>
          <w:ilvl w:val="0"/>
          <w:numId w:val="8"/>
        </w:numPr>
        <w:spacing w:line="360" w:lineRule="auto"/>
        <w:ind w:firstLine="420"/>
        <w:rPr>
          <w:rFonts w:ascii="宋体" w:hAnsi="宋体" w:cs="仿宋_GB2312"/>
          <w:szCs w:val="21"/>
        </w:rPr>
      </w:pPr>
      <w:r>
        <w:rPr>
          <w:rFonts w:hint="eastAsia" w:ascii="宋体" w:hAnsi="宋体" w:cs="仿宋_GB2312"/>
          <w:szCs w:val="21"/>
        </w:rPr>
        <w:t>离退休登记：对于到期离退休人员，可在线办理离退休登记手续。离退休登记完成后，转离校手续。离校手续办理完毕，教职工信息从在职人员库转入离退休人员库。</w:t>
      </w:r>
    </w:p>
    <w:p>
      <w:pPr>
        <w:numPr>
          <w:ilvl w:val="0"/>
          <w:numId w:val="8"/>
        </w:numPr>
        <w:spacing w:line="360" w:lineRule="auto"/>
        <w:ind w:firstLine="420"/>
        <w:rPr>
          <w:rFonts w:ascii="宋体" w:hAnsi="宋体" w:cs="仿宋_GB2312"/>
          <w:szCs w:val="21"/>
        </w:rPr>
      </w:pPr>
      <w:r>
        <w:rPr>
          <w:rFonts w:hint="eastAsia" w:ascii="宋体" w:hAnsi="宋体" w:cs="仿宋_GB2312"/>
          <w:szCs w:val="21"/>
        </w:rPr>
        <w:t>离退休人员信息：离退休人员信息的查询、导入导出、统计分析等。</w:t>
      </w:r>
    </w:p>
    <w:p>
      <w:pPr>
        <w:pStyle w:val="159"/>
        <w:spacing w:line="360" w:lineRule="auto"/>
        <w:ind w:left="420"/>
        <w:rPr>
          <w:rFonts w:hAnsi="宋体"/>
          <w:sz w:val="21"/>
          <w:szCs w:val="21"/>
        </w:rPr>
      </w:pPr>
      <w:r>
        <w:rPr>
          <w:rFonts w:hint="eastAsia" w:hAnsi="宋体"/>
          <w:sz w:val="21"/>
          <w:szCs w:val="21"/>
        </w:rPr>
        <w:t>4、支持延迟退休管理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去世管理</w:t>
      </w:r>
    </w:p>
    <w:p>
      <w:pPr>
        <w:spacing w:line="360" w:lineRule="auto"/>
        <w:ind w:firstLine="420"/>
        <w:rPr>
          <w:rFonts w:ascii="宋体" w:hAnsi="宋体" w:cs="仿宋_GB2312"/>
          <w:szCs w:val="21"/>
        </w:rPr>
      </w:pPr>
      <w:r>
        <w:rPr>
          <w:rFonts w:hint="eastAsia" w:ascii="宋体" w:hAnsi="宋体" w:cs="仿宋_GB2312"/>
          <w:szCs w:val="21"/>
        </w:rPr>
        <w:t>已故人员维护、遗属及补助管理。遗属补助设置到期限提醒功能，丧葬费、抚恤金（自动计算）按实记录。</w:t>
      </w:r>
    </w:p>
    <w:p>
      <w:pPr>
        <w:pStyle w:val="159"/>
        <w:numPr>
          <w:ilvl w:val="3"/>
          <w:numId w:val="4"/>
        </w:numPr>
        <w:spacing w:line="360" w:lineRule="auto"/>
        <w:rPr>
          <w:rFonts w:hAnsi="宋体"/>
          <w:sz w:val="21"/>
          <w:szCs w:val="21"/>
        </w:rPr>
      </w:pPr>
      <w:r>
        <w:rPr>
          <w:rFonts w:hint="eastAsia" w:hAnsi="宋体"/>
          <w:sz w:val="21"/>
          <w:szCs w:val="21"/>
        </w:rPr>
        <w:t>返聘管理</w:t>
      </w:r>
    </w:p>
    <w:p>
      <w:pPr>
        <w:pStyle w:val="159"/>
        <w:tabs>
          <w:tab w:val="left" w:pos="420"/>
          <w:tab w:val="left" w:pos="1284"/>
        </w:tabs>
        <w:spacing w:line="360" w:lineRule="auto"/>
        <w:ind w:left="420"/>
        <w:rPr>
          <w:rFonts w:hAnsi="宋体"/>
          <w:sz w:val="21"/>
          <w:szCs w:val="21"/>
        </w:rPr>
      </w:pPr>
      <w:r>
        <w:rPr>
          <w:rFonts w:hint="eastAsia" w:hAnsi="宋体"/>
          <w:sz w:val="21"/>
          <w:szCs w:val="21"/>
        </w:rPr>
        <w:t>支持对已退休人员的返聘管理。</w:t>
      </w:r>
    </w:p>
    <w:p>
      <w:pPr>
        <w:pStyle w:val="159"/>
        <w:spacing w:line="360" w:lineRule="auto"/>
        <w:rPr>
          <w:rFonts w:hAnsi="宋体"/>
          <w:color w:val="auto"/>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合同管理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合同设置与保存</w:t>
      </w:r>
    </w:p>
    <w:p>
      <w:pPr>
        <w:spacing w:line="360" w:lineRule="auto"/>
        <w:ind w:firstLine="420" w:firstLineChars="200"/>
        <w:rPr>
          <w:rFonts w:ascii="宋体" w:hAnsi="宋体" w:cs="仿宋_GB2312"/>
          <w:szCs w:val="21"/>
        </w:rPr>
      </w:pPr>
      <w:r>
        <w:rPr>
          <w:rFonts w:hint="eastAsia" w:ascii="宋体" w:hAnsi="宋体" w:cs="仿宋_GB2312"/>
          <w:szCs w:val="21"/>
        </w:rPr>
        <w:t>能够灵活配置聘用合同、劳动合同、保密协议、培训协议等常用模板，可以对合同模板进行新增、修改及批量打印，便于盖章存档。能够保存全体教职工的合同信息，包括合同性质、类型、起止时间、签订次数、变更原因等，形成合同台账，便于后期的分析与应用。</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合同签订</w:t>
      </w:r>
    </w:p>
    <w:p>
      <w:pPr>
        <w:spacing w:line="360" w:lineRule="auto"/>
        <w:ind w:firstLine="420" w:firstLineChars="200"/>
        <w:rPr>
          <w:rFonts w:ascii="宋体" w:hAnsi="宋体" w:cs="仿宋_GB2312"/>
          <w:szCs w:val="21"/>
        </w:rPr>
      </w:pPr>
      <w:r>
        <w:rPr>
          <w:rFonts w:hint="eastAsia" w:ascii="宋体" w:hAnsi="宋体" w:cs="仿宋_GB2312"/>
          <w:szCs w:val="21"/>
        </w:rPr>
        <w:t>新进人员经相关部门领导确认后，由系统自动通知院系人事秘书为其办理合同签订，需在系统中打印合同模板，姓名、试用期、起止时间等各项内容可随模板一同打印。合同签订信息自动添加到教职工信息记录中，不需重复维护。可通过短信、邮件方式、企业微信等通知教职工签订合同。</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合同续签</w:t>
      </w:r>
    </w:p>
    <w:p>
      <w:pPr>
        <w:spacing w:line="360" w:lineRule="auto"/>
        <w:ind w:firstLine="420" w:firstLineChars="200"/>
        <w:rPr>
          <w:rFonts w:ascii="宋体" w:hAnsi="宋体" w:cs="仿宋_GB2312"/>
          <w:szCs w:val="21"/>
        </w:rPr>
      </w:pPr>
      <w:r>
        <w:rPr>
          <w:rFonts w:hint="eastAsia" w:ascii="宋体" w:hAnsi="宋体" w:cs="仿宋_GB2312"/>
          <w:szCs w:val="21"/>
        </w:rPr>
        <w:t>系统对合同到期自动预警及通知，可由教职工或单位发起续签合同申请，所在部门、院系领导考核鉴定。审批流程通过后，由院系人事秘书或专员最终提交入库，信息归档，同时通过企业微信、短信、邮件方式通知教职工续签合同。</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合同终止</w:t>
      </w:r>
    </w:p>
    <w:p>
      <w:pPr>
        <w:spacing w:line="360" w:lineRule="auto"/>
        <w:ind w:firstLine="420" w:firstLineChars="200"/>
        <w:rPr>
          <w:rFonts w:ascii="宋体" w:hAnsi="宋体" w:cs="仿宋_GB2312"/>
          <w:szCs w:val="21"/>
        </w:rPr>
      </w:pPr>
      <w:r>
        <w:rPr>
          <w:rFonts w:hint="eastAsia" w:ascii="宋体" w:hAnsi="宋体" w:cs="仿宋_GB2312"/>
          <w:szCs w:val="21"/>
        </w:rPr>
        <w:t>教职工或单位发起终止合同申请表。发起时录入相关信息，经相关部门审批信息归档，出具离校手续。</w:t>
      </w:r>
    </w:p>
    <w:p>
      <w:pPr>
        <w:spacing w:line="360" w:lineRule="auto"/>
        <w:ind w:left="276" w:firstLine="144"/>
        <w:rPr>
          <w:rFonts w:ascii="宋体" w:hAnsi="宋体" w:cs="仿宋_GB2312"/>
          <w:szCs w:val="21"/>
        </w:rPr>
      </w:pPr>
      <w:r>
        <w:rPr>
          <w:rFonts w:hint="eastAsia" w:ascii="宋体" w:hAnsi="宋体" w:cs="仿宋_GB2312"/>
          <w:szCs w:val="21"/>
        </w:rPr>
        <w:t>合同的通知功能，人力资源部可以灵活设置消息发送功能的开通或关闭，支持手工或自动发起，以防止错发、漏发。</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决策分析管理</w:t>
      </w:r>
    </w:p>
    <w:p>
      <w:pPr>
        <w:spacing w:line="360" w:lineRule="auto"/>
        <w:ind w:firstLine="420" w:firstLineChars="200"/>
        <w:rPr>
          <w:rFonts w:ascii="宋体" w:hAnsi="宋体" w:cs="仿宋_GB2312"/>
          <w:szCs w:val="21"/>
        </w:rPr>
      </w:pPr>
      <w:r>
        <w:rPr>
          <w:rFonts w:hint="eastAsia" w:ascii="宋体" w:hAnsi="宋体" w:cs="仿宋_GB2312"/>
          <w:szCs w:val="21"/>
        </w:rPr>
        <w:t>决策分析中心专门为中高管理层提供“一站式”决策支持的管理信息中心平台，综合采用数据仓库、数据挖掘、决策分析模型等技术，通过各种常见的图表形象呈现设学校教师发展的关键指标，直观的监测各类指标情况，并对异常的关键指标进行及时预警和挖掘分析。</w:t>
      </w:r>
    </w:p>
    <w:p>
      <w:pPr>
        <w:spacing w:line="360" w:lineRule="auto"/>
        <w:ind w:firstLine="420" w:firstLineChars="200"/>
        <w:rPr>
          <w:rFonts w:ascii="宋体" w:hAnsi="宋体" w:cs="仿宋_GB2312"/>
          <w:szCs w:val="21"/>
        </w:rPr>
      </w:pPr>
      <w:r>
        <w:rPr>
          <w:rFonts w:hint="eastAsia" w:ascii="宋体" w:hAnsi="宋体" w:cs="仿宋_GB2312"/>
          <w:szCs w:val="21"/>
        </w:rPr>
        <w:t>通过领导驾驶舱，学校领导可以实时的、全面的掌控全校的人员分布情况、职称分布情况、各类人员名册、各类人员情况等。</w:t>
      </w:r>
    </w:p>
    <w:p>
      <w:pPr>
        <w:spacing w:line="360" w:lineRule="auto"/>
        <w:ind w:firstLine="420" w:firstLineChars="200"/>
        <w:rPr>
          <w:rFonts w:ascii="宋体" w:hAnsi="宋体"/>
          <w:szCs w:val="21"/>
        </w:rPr>
      </w:pPr>
      <w:r>
        <w:rPr>
          <w:rFonts w:hint="eastAsia" w:ascii="宋体" w:hAnsi="宋体" w:cs="仿宋_GB2312"/>
          <w:szCs w:val="21"/>
        </w:rPr>
        <w:t>领导可以通过数据看板可通过数据看板查看全校数据分布、各类报表情况。</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报表管理</w:t>
      </w:r>
    </w:p>
    <w:p>
      <w:pPr>
        <w:spacing w:line="360" w:lineRule="auto"/>
        <w:ind w:firstLine="420" w:firstLineChars="200"/>
        <w:rPr>
          <w:rFonts w:ascii="宋体" w:hAnsi="宋体" w:cs="仿宋_GB2312"/>
          <w:szCs w:val="21"/>
        </w:rPr>
      </w:pPr>
      <w:r>
        <w:rPr>
          <w:rFonts w:hint="eastAsia" w:ascii="宋体" w:hAnsi="宋体" w:cs="仿宋_GB2312"/>
          <w:szCs w:val="21"/>
        </w:rPr>
        <w:t xml:space="preserve">对所有人员信息提供简单、快捷的查询和统计，预设常用的查询条件和统计表；对人事关键数据指标进行统计设置，实现关键重要人事指标数据图表多模式呈现； </w:t>
      </w:r>
    </w:p>
    <w:p>
      <w:pPr>
        <w:spacing w:line="360" w:lineRule="auto"/>
        <w:ind w:firstLine="420" w:firstLineChars="200"/>
        <w:rPr>
          <w:rFonts w:ascii="宋体" w:hAnsi="宋体"/>
          <w:szCs w:val="21"/>
        </w:rPr>
      </w:pPr>
      <w:r>
        <w:rPr>
          <w:rFonts w:ascii="宋体" w:hAnsi="宋体"/>
          <w:szCs w:val="21"/>
        </w:rPr>
        <w:tab/>
      </w:r>
      <w:r>
        <w:rPr>
          <w:rFonts w:hint="eastAsia" w:ascii="宋体" w:hAnsi="宋体"/>
          <w:szCs w:val="21"/>
        </w:rPr>
        <w:t>报表工具应支持各主流浏览器，无需安装插件即可在线运行。</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报表制作</w:t>
      </w:r>
    </w:p>
    <w:p>
      <w:pPr>
        <w:spacing w:line="360" w:lineRule="auto"/>
        <w:ind w:firstLine="420" w:firstLineChars="200"/>
        <w:rPr>
          <w:rFonts w:ascii="宋体" w:hAnsi="宋体" w:cs="仿宋_GB2312"/>
          <w:szCs w:val="21"/>
        </w:rPr>
      </w:pPr>
      <w:r>
        <w:rPr>
          <w:rFonts w:hint="eastAsia" w:ascii="宋体" w:hAnsi="宋体" w:cs="仿宋_GB2312"/>
          <w:szCs w:val="21"/>
        </w:rPr>
        <w:t>系统提供灵活快捷的报表制作功能，可直接在网页上设计制作统计报表。</w:t>
      </w:r>
    </w:p>
    <w:p>
      <w:pPr>
        <w:spacing w:line="360" w:lineRule="auto"/>
        <w:ind w:firstLine="420" w:firstLineChars="200"/>
        <w:rPr>
          <w:rFonts w:ascii="宋体" w:hAnsi="宋体" w:cs="仿宋_GB2312"/>
          <w:szCs w:val="21"/>
        </w:rPr>
      </w:pPr>
      <w:r>
        <w:rPr>
          <w:rFonts w:hint="eastAsia" w:ascii="宋体" w:hAnsi="宋体" w:cs="仿宋_GB2312"/>
          <w:szCs w:val="21"/>
        </w:rPr>
        <w:t>统计范围设置：设计报表时，可设置报表的整表数据范围，比如只统计在职在编人员。</w:t>
      </w:r>
    </w:p>
    <w:p>
      <w:pPr>
        <w:spacing w:line="360" w:lineRule="auto"/>
        <w:ind w:firstLine="420" w:firstLineChars="200"/>
        <w:rPr>
          <w:rFonts w:ascii="宋体" w:hAnsi="宋体" w:cs="仿宋_GB2312"/>
          <w:szCs w:val="21"/>
        </w:rPr>
      </w:pPr>
      <w:r>
        <w:rPr>
          <w:rFonts w:hint="eastAsia" w:ascii="宋体" w:hAnsi="宋体" w:cs="仿宋_GB2312"/>
          <w:szCs w:val="21"/>
        </w:rPr>
        <w:t>报表显示类型：统计数据可以通过表格数据展示，也可设置为饼状、柱状、线状等图标进行展示。</w:t>
      </w:r>
    </w:p>
    <w:p>
      <w:pPr>
        <w:spacing w:line="360" w:lineRule="auto"/>
        <w:ind w:firstLine="420" w:firstLineChars="200"/>
        <w:rPr>
          <w:rFonts w:ascii="宋体" w:hAnsi="宋体" w:cs="仿宋_GB2312"/>
          <w:szCs w:val="21"/>
        </w:rPr>
      </w:pPr>
      <w:r>
        <w:rPr>
          <w:rFonts w:hint="eastAsia" w:ascii="宋体" w:hAnsi="宋体" w:cs="仿宋_GB2312"/>
          <w:szCs w:val="21"/>
        </w:rPr>
        <w:t>统计项设置：报表由横向统计项和纵向统计项组成，可灵活设置统计项的名称、统计范围、统计公式、显示样式等参数，支持多级表头，实现多维度统计。统计项可单个添加或修改删除，也可根据分类代码批量添加。</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报表管理</w:t>
      </w:r>
    </w:p>
    <w:p>
      <w:pPr>
        <w:spacing w:line="360" w:lineRule="auto"/>
        <w:ind w:firstLine="420" w:firstLineChars="200"/>
        <w:rPr>
          <w:rFonts w:ascii="宋体" w:hAnsi="宋体" w:cs="仿宋_GB2312"/>
          <w:szCs w:val="21"/>
        </w:rPr>
      </w:pPr>
      <w:r>
        <w:rPr>
          <w:rFonts w:hint="eastAsia" w:ascii="宋体" w:hAnsi="宋体" w:cs="仿宋_GB2312"/>
          <w:szCs w:val="21"/>
        </w:rPr>
        <w:t>可以对统报表进行分类管理，设置查看和编辑权限。</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报表查看</w:t>
      </w:r>
    </w:p>
    <w:p>
      <w:pPr>
        <w:spacing w:line="360" w:lineRule="auto"/>
        <w:ind w:firstLine="420" w:firstLineChars="200"/>
        <w:rPr>
          <w:rFonts w:ascii="宋体" w:hAnsi="宋体" w:cs="仿宋_GB2312"/>
          <w:szCs w:val="21"/>
        </w:rPr>
      </w:pPr>
      <w:r>
        <w:rPr>
          <w:rFonts w:hint="eastAsia" w:ascii="宋体" w:hAnsi="宋体" w:cs="仿宋_GB2312"/>
          <w:szCs w:val="21"/>
        </w:rPr>
        <w:t>统计报表可以在系统中实时查看，报表可以导出和打印。系统内置常用的上报表，包括高基表、工资报表等。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历史报表管理</w:t>
      </w:r>
    </w:p>
    <w:p>
      <w:pPr>
        <w:spacing w:line="360" w:lineRule="auto"/>
        <w:ind w:firstLine="420" w:firstLineChars="200"/>
        <w:rPr>
          <w:rFonts w:ascii="宋体" w:hAnsi="宋体" w:cs="仿宋_GB2312"/>
          <w:szCs w:val="21"/>
        </w:rPr>
      </w:pPr>
      <w:r>
        <w:rPr>
          <w:rFonts w:hint="eastAsia" w:ascii="宋体" w:hAnsi="宋体" w:cs="仿宋_GB2312"/>
          <w:szCs w:val="21"/>
        </w:rPr>
        <w:t>查询过往某个时间点当月的教职工所有信息数据包括人事基本信息和月发工资的历史节点数据，并支持导出。</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培训进修管理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短期培训</w:t>
      </w:r>
    </w:p>
    <w:p>
      <w:pPr>
        <w:spacing w:line="360" w:lineRule="auto"/>
        <w:ind w:firstLine="420" w:firstLineChars="200"/>
        <w:rPr>
          <w:rFonts w:ascii="宋体" w:hAnsi="宋体" w:cs="仿宋_GB2312"/>
          <w:szCs w:val="21"/>
        </w:rPr>
      </w:pPr>
      <w:r>
        <w:rPr>
          <w:rFonts w:hint="eastAsia" w:ascii="宋体" w:hAnsi="宋体" w:cs="仿宋_GB2312"/>
          <w:szCs w:val="21"/>
        </w:rPr>
        <w:t>提供对在职教职工短期培训的申请和审核，申请人在系统内填写《短期培训审批表》打印后提交，审核通过的生成《**年度短期培训汇总表》，字段包括序号（自动生成年-月-个数）、部门、姓名、手机号码、培训学校、培训专业、培训文件时间、培训国家（地区）、备注。提供下载的模板表格有《回校工作及待遇申请表》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学历进修</w:t>
      </w:r>
    </w:p>
    <w:p>
      <w:pPr>
        <w:spacing w:line="360" w:lineRule="auto"/>
        <w:ind w:firstLine="420" w:firstLineChars="200"/>
        <w:rPr>
          <w:rFonts w:ascii="宋体" w:hAnsi="宋体" w:cs="仿宋_GB2312"/>
          <w:szCs w:val="21"/>
        </w:rPr>
      </w:pPr>
      <w:r>
        <w:rPr>
          <w:rFonts w:hint="eastAsia" w:ascii="宋体" w:hAnsi="宋体" w:cs="仿宋_GB2312"/>
          <w:szCs w:val="21"/>
        </w:rPr>
        <w:t>提供对在职教职工学历进修的申请和审核，申请人在系统内填写《进修审批表》打印后提交，审核通过的生成《**年度学历进修汇总表》，字段包括序号（自动生成年-月-个数）、部门、姓名、手机号码、进修学校、进修专业、进修学制时间、进修国家（地区）、进修类别、是否调档、是否定向、备注。提供下载的模板表格有《回校工作及待遇申请表》、《博士延期申请表》、《学历进修结项审批表》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国内访学</w:t>
      </w:r>
    </w:p>
    <w:p>
      <w:pPr>
        <w:spacing w:line="360" w:lineRule="auto"/>
        <w:ind w:firstLine="420" w:firstLineChars="200"/>
        <w:rPr>
          <w:rFonts w:ascii="宋体" w:hAnsi="宋体" w:cs="仿宋_GB2312"/>
          <w:szCs w:val="21"/>
        </w:rPr>
      </w:pPr>
      <w:r>
        <w:rPr>
          <w:rFonts w:hint="eastAsia" w:ascii="宋体" w:hAnsi="宋体" w:cs="仿宋_GB2312"/>
          <w:szCs w:val="21"/>
        </w:rPr>
        <w:t>提供对在职教职工国内访学的申请和审核，申请人在系统内填写《国内访学审批表》打印后提交，审核通过的生成《**年度国内访学汇总表》，字段包括序号（自动生成年-月-个数）、部门、姓名、手机号码、访学学校、访学专业、访学学制时间、访学国家（地区）、备注。提供下载的模板表格有《回校工作及待遇申请表》、《国内访学结项审批表》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境外访学</w:t>
      </w:r>
    </w:p>
    <w:p>
      <w:pPr>
        <w:spacing w:line="360" w:lineRule="auto"/>
        <w:ind w:firstLine="420" w:firstLineChars="200"/>
        <w:rPr>
          <w:rFonts w:ascii="宋体" w:hAnsi="宋体" w:cs="仿宋_GB2312"/>
          <w:szCs w:val="21"/>
        </w:rPr>
      </w:pPr>
      <w:r>
        <w:rPr>
          <w:rFonts w:hint="eastAsia" w:ascii="宋体" w:hAnsi="宋体" w:cs="仿宋_GB2312"/>
          <w:szCs w:val="21"/>
        </w:rPr>
        <w:t>提供对在职教职工境外访学的申请和审核，申请人在系统内填写《国内访学审批表》打印后提交，审核通过的生成《**年度境外访学汇总表》，字段包括序号（自动生成年-月-个数）、部门、姓名、手机号码、访学学校、访学专业、访学学制时间、访学国家（地区）、备注。提供下载的模板表格有《回校工作及待遇申请表》、《境外访学结项审批表》等。</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考勤</w:t>
      </w:r>
      <w:r>
        <w:rPr>
          <w:rFonts w:ascii="宋体" w:hAnsi="宋体" w:cs="仿宋_GB2312"/>
          <w:sz w:val="21"/>
          <w:szCs w:val="21"/>
        </w:rPr>
        <w:t>管理</w:t>
      </w:r>
    </w:p>
    <w:p>
      <w:pPr>
        <w:spacing w:line="360" w:lineRule="auto"/>
        <w:ind w:firstLine="420" w:firstLineChars="200"/>
        <w:rPr>
          <w:rFonts w:ascii="宋体" w:hAnsi="宋体" w:cs="仿宋_GB2312"/>
          <w:szCs w:val="21"/>
        </w:rPr>
      </w:pPr>
      <w:r>
        <w:rPr>
          <w:rFonts w:hint="eastAsia" w:ascii="宋体" w:hAnsi="宋体" w:cs="仿宋_GB2312"/>
          <w:szCs w:val="21"/>
        </w:rPr>
        <w:t>系统支持各类请假业务的流程设置、申请与审核，生成考勤信息表。系统支持学校和二级单位考勤数据的上报，人事处统计汇总考勤信息。</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考勤过程管理</w:t>
      </w:r>
    </w:p>
    <w:p>
      <w:pPr>
        <w:spacing w:line="360" w:lineRule="auto"/>
        <w:ind w:firstLine="420" w:firstLineChars="200"/>
        <w:rPr>
          <w:rFonts w:ascii="宋体" w:hAnsi="宋体" w:cs="仿宋_GB2312"/>
          <w:szCs w:val="21"/>
        </w:rPr>
      </w:pPr>
      <w:r>
        <w:rPr>
          <w:rFonts w:hint="eastAsia" w:ascii="宋体" w:hAnsi="宋体" w:cs="仿宋_GB2312"/>
          <w:szCs w:val="21"/>
        </w:rPr>
        <w:t>考勤工作以月为单位进行，人力资源部可以设置白名单，用于不参与考勤人员的设置，白名单支持不参与考勤的用户日期范围，不列入白名单的教职工都必须参与考勤。支持每个月的考勤天数设置与管理，支持批量操作，然后启动当月考勤上报，各单位上报后，由人事处审核汇总。</w:t>
      </w:r>
    </w:p>
    <w:p>
      <w:pPr>
        <w:pStyle w:val="159"/>
        <w:spacing w:line="360" w:lineRule="auto"/>
        <w:rPr>
          <w:rFonts w:hAnsi="宋体"/>
          <w:sz w:val="21"/>
          <w:szCs w:val="21"/>
        </w:rPr>
      </w:pPr>
      <w:r>
        <w:rPr>
          <w:rFonts w:hint="eastAsia" w:hAnsi="宋体"/>
          <w:sz w:val="21"/>
          <w:szCs w:val="21"/>
        </w:rPr>
        <w:t xml:space="preserve"> </w:t>
      </w:r>
      <w:r>
        <w:rPr>
          <w:rFonts w:hAnsi="宋体"/>
          <w:sz w:val="21"/>
          <w:szCs w:val="21"/>
        </w:rPr>
        <w:t xml:space="preserve">  </w:t>
      </w:r>
      <w:r>
        <w:rPr>
          <w:rFonts w:hint="eastAsia" w:hAnsi="宋体"/>
          <w:sz w:val="21"/>
          <w:szCs w:val="21"/>
        </w:rPr>
        <w:t>已请假教职工信息自动同步至白名单，提高考勤管理效率和准确率。</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校历设置</w:t>
      </w:r>
    </w:p>
    <w:p>
      <w:pPr>
        <w:spacing w:line="360" w:lineRule="auto"/>
        <w:ind w:firstLine="420" w:firstLineChars="200"/>
        <w:rPr>
          <w:rFonts w:ascii="宋体" w:hAnsi="宋体" w:cs="仿宋_GB2312"/>
          <w:szCs w:val="21"/>
        </w:rPr>
      </w:pPr>
      <w:r>
        <w:rPr>
          <w:rFonts w:hint="eastAsia" w:ascii="宋体" w:hAnsi="宋体" w:cs="仿宋_GB2312"/>
          <w:szCs w:val="21"/>
        </w:rPr>
        <w:t>系统可以实现自定义校历的功能，系统管理员可以在线设计考勤日期，休假日期，同时针对不同类别的人员，可以指定不同的考勤日历。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考勤上报</w:t>
      </w:r>
    </w:p>
    <w:p>
      <w:pPr>
        <w:spacing w:line="360" w:lineRule="auto"/>
        <w:ind w:firstLine="420" w:firstLineChars="200"/>
        <w:rPr>
          <w:rFonts w:ascii="宋体" w:hAnsi="宋体" w:cs="仿宋_GB2312"/>
          <w:szCs w:val="21"/>
        </w:rPr>
      </w:pPr>
      <w:r>
        <w:rPr>
          <w:rFonts w:hint="eastAsia" w:ascii="宋体" w:hAnsi="宋体" w:cs="仿宋_GB2312"/>
          <w:szCs w:val="21"/>
        </w:rPr>
        <w:t>每个月，系统自动根据教职工请假信息生成考勤汇总统计表，各二级单位按月考勤数据进行审核修改，然后整体提交给人事处在线审核，可在线生成和打印各月的考勤表。</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考勤审核</w:t>
      </w:r>
    </w:p>
    <w:p>
      <w:pPr>
        <w:spacing w:line="360" w:lineRule="auto"/>
        <w:ind w:firstLine="420" w:firstLineChars="200"/>
        <w:rPr>
          <w:rFonts w:ascii="宋体" w:hAnsi="宋体" w:cs="仿宋_GB2312"/>
          <w:szCs w:val="21"/>
        </w:rPr>
      </w:pPr>
      <w:r>
        <w:rPr>
          <w:rFonts w:hint="eastAsia" w:ascii="宋体" w:hAnsi="宋体" w:cs="仿宋_GB2312"/>
          <w:szCs w:val="21"/>
        </w:rPr>
        <w:t>人事处对各单位在线提交的考勤数据进行审核，有问题的可退回修改。系统自动汇总全校考勤数据，可查询、导出和统计。</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考勤设置</w:t>
      </w:r>
    </w:p>
    <w:p>
      <w:pPr>
        <w:spacing w:line="360" w:lineRule="auto"/>
        <w:ind w:firstLine="420" w:firstLineChars="200"/>
        <w:rPr>
          <w:rFonts w:ascii="宋体" w:hAnsi="宋体" w:cs="仿宋_GB2312"/>
          <w:szCs w:val="21"/>
        </w:rPr>
      </w:pPr>
      <w:r>
        <w:rPr>
          <w:rFonts w:hint="eastAsia" w:ascii="宋体" w:hAnsi="宋体" w:cs="仿宋_GB2312"/>
          <w:szCs w:val="21"/>
        </w:rPr>
        <w:t>可灵活设置考勤类别。可以实现行政人员与专任教师分别进行考勤，可同时执行多套考勤标准。考勤单位和所属单位不一致的人员，可单独设置考勤单位。</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薪酬管理</w:t>
      </w:r>
      <w:r>
        <w:rPr>
          <w:rFonts w:hint="eastAsia" w:ascii="宋体" w:hAnsi="宋体" w:cs="仿宋_GB2312"/>
          <w:sz w:val="21"/>
          <w:szCs w:val="21"/>
        </w:rPr>
        <w:t>系统</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工资薪酬管理</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工资体系</w:t>
      </w:r>
    </w:p>
    <w:p>
      <w:pPr>
        <w:spacing w:line="360" w:lineRule="auto"/>
        <w:ind w:firstLine="420"/>
        <w:rPr>
          <w:rFonts w:ascii="宋体" w:hAnsi="宋体" w:cs="仿宋_GB2312"/>
          <w:szCs w:val="21"/>
        </w:rPr>
      </w:pPr>
      <w:r>
        <w:rPr>
          <w:rFonts w:hint="eastAsia" w:ascii="宋体" w:hAnsi="宋体" w:cs="仿宋_GB2312"/>
          <w:szCs w:val="21"/>
        </w:rPr>
        <w:t>学校编内人员、合同制职工、离退休人员、返聘等编内、编外人员执行不同的工资管理体系。系统能够满足多种不同的工资结构。</w:t>
      </w:r>
    </w:p>
    <w:p>
      <w:pPr>
        <w:spacing w:line="360" w:lineRule="auto"/>
        <w:ind w:firstLine="420"/>
        <w:rPr>
          <w:rFonts w:ascii="宋体" w:hAnsi="宋体" w:cs="仿宋_GB2312"/>
          <w:szCs w:val="21"/>
        </w:rPr>
      </w:pPr>
      <w:r>
        <w:rPr>
          <w:rFonts w:hint="eastAsia" w:ascii="宋体" w:hAnsi="宋体" w:cs="仿宋_GB2312"/>
          <w:szCs w:val="21"/>
        </w:rPr>
        <w:t>预置多种工资标准表，如管理人员、专技人员、工勤人员的岗位工资标准、薪级工资标准；工资套改标准表等，并能够对工资标准表进行灵活的增加、修改、删除等操作。</w:t>
      </w:r>
    </w:p>
    <w:p>
      <w:pPr>
        <w:spacing w:line="360" w:lineRule="auto"/>
        <w:ind w:firstLine="420"/>
        <w:rPr>
          <w:rFonts w:ascii="宋体" w:hAnsi="宋体" w:cs="仿宋_GB2312"/>
          <w:szCs w:val="21"/>
        </w:rPr>
      </w:pPr>
      <w:r>
        <w:rPr>
          <w:rFonts w:hint="eastAsia" w:ascii="宋体" w:hAnsi="宋体" w:cs="仿宋_GB2312"/>
          <w:szCs w:val="21"/>
        </w:rPr>
        <w:t>能对不同工资体系中的工资项目及其计算公式进行新增、修改、删除等操作，便于学校自己对工资体系的调整和完善。</w:t>
      </w:r>
    </w:p>
    <w:p>
      <w:pPr>
        <w:spacing w:line="360" w:lineRule="auto"/>
        <w:ind w:firstLine="420"/>
        <w:rPr>
          <w:rFonts w:ascii="宋体" w:hAnsi="宋体" w:cs="仿宋_GB2312"/>
          <w:szCs w:val="21"/>
        </w:rPr>
      </w:pPr>
      <w:r>
        <w:rPr>
          <w:rFonts w:hint="eastAsia" w:ascii="宋体" w:hAnsi="宋体" w:cs="仿宋_GB2312"/>
          <w:szCs w:val="21"/>
        </w:rPr>
        <w:t>具有明确工资标准的工资项目（包括事业单位统一工资项目和学校自定项目），均可以在系统自动生成。</w:t>
      </w:r>
    </w:p>
    <w:p>
      <w:pPr>
        <w:spacing w:line="360" w:lineRule="auto"/>
        <w:ind w:firstLine="420"/>
        <w:rPr>
          <w:rFonts w:ascii="宋体" w:hAnsi="宋体" w:cs="仿宋_GB2312"/>
          <w:szCs w:val="21"/>
        </w:rPr>
      </w:pPr>
      <w:r>
        <w:rPr>
          <w:rFonts w:hint="eastAsia" w:ascii="宋体" w:hAnsi="宋体" w:cs="仿宋_GB2312"/>
          <w:szCs w:val="21"/>
        </w:rPr>
        <w:t>能够进行工资数据的批量导入、导出，便于引入系统外数据参与工资计算。</w:t>
      </w:r>
    </w:p>
    <w:p>
      <w:pPr>
        <w:spacing w:line="360" w:lineRule="auto"/>
        <w:ind w:firstLine="420"/>
        <w:rPr>
          <w:rFonts w:ascii="宋体" w:hAnsi="宋体" w:cs="仿宋_GB2312"/>
          <w:szCs w:val="21"/>
        </w:rPr>
      </w:pPr>
      <w:r>
        <w:rPr>
          <w:rFonts w:hint="eastAsia" w:ascii="宋体" w:hAnsi="宋体" w:cs="仿宋_GB2312"/>
          <w:szCs w:val="21"/>
        </w:rPr>
        <w:t>对工资项目的运算结果要能够进行手工调整。</w:t>
      </w:r>
    </w:p>
    <w:p>
      <w:pPr>
        <w:spacing w:line="360" w:lineRule="auto"/>
        <w:ind w:firstLine="420"/>
        <w:rPr>
          <w:rFonts w:ascii="宋体" w:hAnsi="宋体" w:cs="仿宋_GB2312"/>
          <w:szCs w:val="21"/>
        </w:rPr>
      </w:pPr>
      <w:r>
        <w:rPr>
          <w:rFonts w:hint="eastAsia" w:ascii="宋体" w:hAnsi="宋体" w:cs="仿宋_GB2312"/>
          <w:szCs w:val="21"/>
        </w:rPr>
        <w:t>工资发放支持多种形式，满足年薪制、月薪制及一月多次发放等。</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工资调整</w:t>
      </w:r>
    </w:p>
    <w:p>
      <w:pPr>
        <w:spacing w:line="360" w:lineRule="auto"/>
        <w:ind w:firstLine="420"/>
        <w:rPr>
          <w:rFonts w:ascii="宋体" w:hAnsi="宋体" w:cs="仿宋_GB2312"/>
          <w:szCs w:val="21"/>
        </w:rPr>
      </w:pPr>
      <w:r>
        <w:rPr>
          <w:rFonts w:hint="eastAsia" w:ascii="宋体" w:hAnsi="宋体" w:cs="仿宋_GB2312"/>
          <w:szCs w:val="21"/>
        </w:rPr>
        <w:t>能完成新聘用人员工资确定、年度增加薪级工资、岗位变动工资调整、调整基本工资标准、调整津贴补贴标准等所有调资业务。</w:t>
      </w:r>
    </w:p>
    <w:p>
      <w:pPr>
        <w:spacing w:line="360" w:lineRule="auto"/>
        <w:ind w:firstLine="420"/>
        <w:rPr>
          <w:rFonts w:ascii="宋体" w:hAnsi="宋体" w:cs="仿宋_GB2312"/>
          <w:szCs w:val="21"/>
        </w:rPr>
      </w:pPr>
      <w:r>
        <w:rPr>
          <w:rFonts w:hint="eastAsia" w:ascii="宋体" w:hAnsi="宋体" w:cs="仿宋_GB2312"/>
          <w:szCs w:val="21"/>
        </w:rPr>
        <w:t>能按照规定格式实现各种调资业务审批表的修改和新建，并能够在审批表中设置相关条件、公式，满足事业单位工资变动审批要求。</w:t>
      </w:r>
    </w:p>
    <w:p>
      <w:pPr>
        <w:spacing w:line="360" w:lineRule="auto"/>
        <w:ind w:firstLine="420"/>
        <w:rPr>
          <w:rFonts w:ascii="宋体" w:hAnsi="宋体" w:cs="仿宋_GB2312"/>
          <w:szCs w:val="21"/>
        </w:rPr>
      </w:pPr>
      <w:r>
        <w:rPr>
          <w:rFonts w:hint="eastAsia" w:ascii="宋体" w:hAnsi="宋体" w:cs="仿宋_GB2312"/>
          <w:szCs w:val="21"/>
        </w:rPr>
        <w:t>各种调资业务的大部分计算处理都可以由系统完成，特殊情况人员可以手动调整。</w:t>
      </w:r>
    </w:p>
    <w:p>
      <w:pPr>
        <w:spacing w:line="360" w:lineRule="auto"/>
        <w:ind w:firstLine="420"/>
        <w:rPr>
          <w:rFonts w:ascii="宋体" w:hAnsi="宋体" w:cs="仿宋_GB2312"/>
          <w:szCs w:val="21"/>
        </w:rPr>
      </w:pPr>
      <w:r>
        <w:rPr>
          <w:rFonts w:hint="eastAsia" w:ascii="宋体" w:hAnsi="宋体" w:cs="仿宋_GB2312"/>
          <w:szCs w:val="21"/>
        </w:rPr>
        <w:t>各种工资变动审批表均能够输出为上级部门要求的文件格式，并能在线调整、打印。</w:t>
      </w:r>
    </w:p>
    <w:p>
      <w:pPr>
        <w:spacing w:line="360" w:lineRule="auto"/>
        <w:ind w:firstLine="420"/>
        <w:rPr>
          <w:rFonts w:ascii="宋体" w:hAnsi="宋体" w:cs="仿宋_GB2312"/>
          <w:szCs w:val="21"/>
        </w:rPr>
      </w:pPr>
      <w:r>
        <w:rPr>
          <w:rFonts w:hint="eastAsia" w:ascii="宋体" w:hAnsi="宋体" w:cs="仿宋_GB2312"/>
          <w:szCs w:val="21"/>
        </w:rPr>
        <w:t>工资调整业务支持流程审批的定义，并自动记录职工的工资变动情况，提供工资补发、补扣等自动处理机制，历次变动情况可以归档备查。</w:t>
      </w:r>
    </w:p>
    <w:p>
      <w:pPr>
        <w:spacing w:line="360" w:lineRule="auto"/>
        <w:ind w:firstLine="420"/>
        <w:rPr>
          <w:rFonts w:ascii="宋体" w:hAnsi="宋体" w:cs="仿宋_GB2312"/>
          <w:szCs w:val="21"/>
        </w:rPr>
      </w:pPr>
      <w:r>
        <w:rPr>
          <w:rFonts w:hint="eastAsia" w:ascii="宋体" w:hAnsi="宋体" w:cs="仿宋_GB2312"/>
          <w:szCs w:val="21"/>
        </w:rPr>
        <w:t>在工资标准调整时，可修改或导入新的工资标准，在工资核算时根据职等、薪级情况自动计算。</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工资核算</w:t>
      </w:r>
    </w:p>
    <w:p>
      <w:pPr>
        <w:spacing w:line="360" w:lineRule="auto"/>
        <w:ind w:firstLine="420"/>
        <w:rPr>
          <w:rFonts w:ascii="宋体" w:hAnsi="宋体" w:cs="仿宋_GB2312"/>
          <w:szCs w:val="21"/>
        </w:rPr>
      </w:pPr>
      <w:r>
        <w:rPr>
          <w:rFonts w:hint="eastAsia" w:ascii="宋体" w:hAnsi="宋体" w:cs="仿宋_GB2312"/>
          <w:szCs w:val="21"/>
        </w:rPr>
        <w:t>工资核算过程要基于上月的工资数据进行本月的工资计算，只需对当月发生变化的人员信息进行比对，并对变化人员的工资项目进行调整、审核后进行工资核算；</w:t>
      </w:r>
    </w:p>
    <w:p>
      <w:pPr>
        <w:spacing w:line="360" w:lineRule="auto"/>
        <w:ind w:firstLine="420"/>
        <w:rPr>
          <w:rFonts w:ascii="宋体" w:hAnsi="宋体" w:cs="仿宋_GB2312"/>
          <w:szCs w:val="21"/>
        </w:rPr>
      </w:pPr>
      <w:r>
        <w:rPr>
          <w:rFonts w:hint="eastAsia" w:ascii="宋体" w:hAnsi="宋体" w:cs="仿宋_GB2312"/>
          <w:szCs w:val="21"/>
        </w:rPr>
        <w:t>学校通过系统向各单位发放奖金总额，学院进行二次分配后上报系统，审核后直接参与工资计算 。</w:t>
      </w:r>
    </w:p>
    <w:p>
      <w:pPr>
        <w:spacing w:line="360" w:lineRule="auto"/>
        <w:ind w:firstLine="420"/>
        <w:rPr>
          <w:rFonts w:ascii="宋体" w:hAnsi="宋体" w:cs="仿宋_GB2312"/>
          <w:szCs w:val="21"/>
        </w:rPr>
      </w:pPr>
      <w:r>
        <w:rPr>
          <w:rFonts w:hint="eastAsia" w:ascii="宋体" w:hAnsi="宋体" w:cs="仿宋_GB2312"/>
          <w:szCs w:val="21"/>
        </w:rPr>
        <w:t>工资核算时可直接引用其他业务模块数据，如考勤、绩效、奖惩等各项数据，自动核算绩效工资、考勤扣款、保险扣款、应发、应纳税所得额、税、实发等项目；</w:t>
      </w:r>
    </w:p>
    <w:p>
      <w:pPr>
        <w:spacing w:line="360" w:lineRule="auto"/>
        <w:ind w:firstLine="420"/>
        <w:rPr>
          <w:rFonts w:ascii="宋体" w:hAnsi="宋体" w:cs="仿宋_GB2312"/>
          <w:szCs w:val="21"/>
        </w:rPr>
      </w:pPr>
      <w:r>
        <w:rPr>
          <w:rFonts w:hint="eastAsia" w:ascii="宋体" w:hAnsi="宋体" w:cs="仿宋_GB2312"/>
          <w:szCs w:val="21"/>
        </w:rPr>
        <w:t>能够通过导入excel、或手工调整等方式引入外部数据（如考勤、考核结果等），参与工资计算；</w:t>
      </w:r>
    </w:p>
    <w:p>
      <w:pPr>
        <w:spacing w:line="360" w:lineRule="auto"/>
        <w:ind w:firstLine="420"/>
        <w:rPr>
          <w:rFonts w:ascii="宋体" w:hAnsi="宋体" w:cs="仿宋_GB2312"/>
          <w:szCs w:val="21"/>
        </w:rPr>
      </w:pPr>
      <w:r>
        <w:rPr>
          <w:rFonts w:hint="eastAsia" w:ascii="宋体" w:hAnsi="宋体" w:cs="仿宋_GB2312"/>
          <w:szCs w:val="21"/>
        </w:rPr>
        <w:t>所有涉及人员变动或工资调整带来的工资变化要能够自动汇总，便于在工资核算过程中对工资变动信息自动比对，避免二次核对带来的工作效率不高，数据不准等问题。</w:t>
      </w:r>
    </w:p>
    <w:p>
      <w:pPr>
        <w:spacing w:line="360" w:lineRule="auto"/>
        <w:ind w:firstLine="420"/>
        <w:rPr>
          <w:rFonts w:ascii="宋体" w:hAnsi="宋体" w:cs="仿宋_GB2312"/>
          <w:szCs w:val="21"/>
        </w:rPr>
      </w:pPr>
      <w:r>
        <w:rPr>
          <w:rFonts w:hint="eastAsia" w:ascii="宋体" w:hAnsi="宋体" w:cs="仿宋_GB2312"/>
          <w:szCs w:val="21"/>
        </w:rPr>
        <w:t>整个工资系统的核算，要能够做到代扣税或代缴税、支持正算、反算、合并计税及符合国家法律的所有计税方式的自动计算，如工资薪金、全年一次奖金、劳务报酬等，提高工资核算效率；</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工资发放</w:t>
      </w:r>
    </w:p>
    <w:p>
      <w:pPr>
        <w:spacing w:line="360" w:lineRule="auto"/>
        <w:ind w:firstLine="420"/>
        <w:rPr>
          <w:rFonts w:ascii="宋体" w:hAnsi="宋体" w:cs="仿宋_GB2312"/>
          <w:szCs w:val="21"/>
        </w:rPr>
      </w:pPr>
      <w:r>
        <w:rPr>
          <w:rFonts w:hint="eastAsia" w:ascii="宋体" w:hAnsi="宋体" w:cs="仿宋_GB2312"/>
          <w:szCs w:val="21"/>
        </w:rPr>
        <w:t>人事部门将发放工资的数据材料交给财务部门后，财务部门进行工资核算与发放，人事部门负责对他们录入数据库的信息的正确性和完整性进行审核。</w:t>
      </w:r>
    </w:p>
    <w:p>
      <w:pPr>
        <w:spacing w:line="360" w:lineRule="auto"/>
        <w:ind w:firstLine="420"/>
        <w:rPr>
          <w:rFonts w:ascii="宋体" w:hAnsi="宋体" w:cs="仿宋_GB2312"/>
          <w:szCs w:val="21"/>
        </w:rPr>
      </w:pPr>
      <w:r>
        <w:rPr>
          <w:rFonts w:hint="eastAsia" w:ascii="宋体" w:hAnsi="宋体" w:cs="仿宋_GB2312"/>
          <w:szCs w:val="21"/>
        </w:rPr>
        <w:t>能够与财务软件进行集成，支持与Excel进行数据交换，满足不同部门间数据的同步。</w:t>
      </w:r>
    </w:p>
    <w:p>
      <w:pPr>
        <w:spacing w:line="360" w:lineRule="auto"/>
        <w:ind w:firstLine="420"/>
        <w:rPr>
          <w:rFonts w:ascii="宋体" w:hAnsi="宋体" w:cs="仿宋_GB2312"/>
          <w:szCs w:val="21"/>
        </w:rPr>
      </w:pPr>
      <w:r>
        <w:rPr>
          <w:rFonts w:hint="eastAsia" w:ascii="宋体" w:hAnsi="宋体" w:cs="仿宋_GB2312"/>
          <w:szCs w:val="21"/>
        </w:rPr>
        <w:t>应能够自动输出收入证明等与工资数据相关的各种证明，且证明的格式能根据学校要求自行修改。</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工资分析</w:t>
      </w:r>
    </w:p>
    <w:p>
      <w:pPr>
        <w:spacing w:line="360" w:lineRule="auto"/>
        <w:ind w:firstLine="420"/>
        <w:rPr>
          <w:rFonts w:ascii="宋体" w:hAnsi="宋体" w:cs="仿宋_GB2312"/>
          <w:szCs w:val="21"/>
        </w:rPr>
      </w:pPr>
      <w:r>
        <w:rPr>
          <w:rFonts w:hint="eastAsia" w:ascii="宋体" w:hAnsi="宋体" w:cs="仿宋_GB2312"/>
          <w:szCs w:val="21"/>
        </w:rPr>
        <w:t>能在工资计算结果的基础上进行统计和分析，生成直观的分析图表，为学校分析工资状况及进行工资预算提供决策依据；</w:t>
      </w:r>
    </w:p>
    <w:p>
      <w:pPr>
        <w:spacing w:line="360" w:lineRule="auto"/>
        <w:ind w:firstLine="420"/>
        <w:rPr>
          <w:rFonts w:ascii="宋体" w:hAnsi="宋体" w:cs="仿宋_GB2312"/>
          <w:szCs w:val="21"/>
        </w:rPr>
      </w:pPr>
      <w:r>
        <w:rPr>
          <w:rFonts w:hint="eastAsia" w:ascii="宋体" w:hAnsi="宋体" w:cs="仿宋_GB2312"/>
          <w:szCs w:val="21"/>
        </w:rPr>
        <w:t>要能够输出不同格式的工资明细报表和统计报表、历史工资报表，例如工资发放花名册、发放差异表、工资计算审批单等等，并能够对各种表格进行灵活的新增、调整和删除等。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绩效工资管理</w:t>
      </w:r>
    </w:p>
    <w:p>
      <w:pPr>
        <w:spacing w:line="360" w:lineRule="auto"/>
        <w:ind w:firstLine="420" w:firstLineChars="200"/>
        <w:rPr>
          <w:rFonts w:ascii="宋体" w:hAnsi="宋体" w:cs="仿宋_GB2312"/>
          <w:szCs w:val="21"/>
        </w:rPr>
      </w:pPr>
      <w:r>
        <w:rPr>
          <w:rFonts w:hint="eastAsia" w:ascii="宋体" w:hAnsi="宋体" w:cs="仿宋_GB2312"/>
          <w:szCs w:val="21"/>
        </w:rPr>
        <w:t>绩效工资管理是对于二级部门绩效上报的管理，可以实现上报、审核的线上化操作，并可以辅助在线签字功能实现无纸化办公。</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绩效上报</w:t>
      </w:r>
    </w:p>
    <w:p>
      <w:pPr>
        <w:spacing w:line="360" w:lineRule="auto"/>
        <w:ind w:firstLine="420" w:firstLineChars="200"/>
        <w:rPr>
          <w:rFonts w:ascii="宋体" w:hAnsi="宋体" w:cs="仿宋_GB2312"/>
          <w:szCs w:val="21"/>
        </w:rPr>
      </w:pPr>
      <w:r>
        <w:rPr>
          <w:rFonts w:hint="eastAsia" w:ascii="宋体" w:hAnsi="宋体" w:cs="仿宋_GB2312"/>
          <w:szCs w:val="21"/>
        </w:rPr>
        <w:t>二级部门绩效管理人员可在系统中直接制作绩效上报表，可以在线下载绩效统计表格模板进行绩效统计，上传至系统可自动生成绩效上报表格。</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绩效统计</w:t>
      </w:r>
    </w:p>
    <w:p>
      <w:pPr>
        <w:spacing w:line="360" w:lineRule="auto"/>
        <w:ind w:firstLine="420" w:firstLineChars="200"/>
        <w:rPr>
          <w:rFonts w:ascii="宋体" w:hAnsi="宋体" w:cs="仿宋_GB2312"/>
          <w:szCs w:val="21"/>
        </w:rPr>
      </w:pPr>
      <w:r>
        <w:rPr>
          <w:rFonts w:hint="eastAsia" w:ascii="宋体" w:hAnsi="宋体" w:cs="仿宋_GB2312"/>
          <w:szCs w:val="21"/>
        </w:rPr>
        <w:t>系统可根据上报的绩效申报表格自动统计出每一张绩效申报表的发放总金额，从而实现发放金额管理。</w:t>
      </w:r>
    </w:p>
    <w:p>
      <w:pPr>
        <w:pStyle w:val="6"/>
        <w:widowControl/>
        <w:numPr>
          <w:ilvl w:val="4"/>
          <w:numId w:val="4"/>
        </w:numPr>
        <w:spacing w:before="200" w:after="0" w:line="360" w:lineRule="auto"/>
        <w:ind w:left="1429" w:hanging="1009"/>
        <w:jc w:val="left"/>
        <w:rPr>
          <w:rFonts w:ascii="宋体" w:hAnsi="宋体"/>
          <w:sz w:val="21"/>
          <w:szCs w:val="21"/>
        </w:rPr>
      </w:pPr>
      <w:r>
        <w:rPr>
          <w:rFonts w:hint="eastAsia" w:ascii="宋体" w:hAnsi="宋体"/>
          <w:sz w:val="21"/>
          <w:szCs w:val="21"/>
        </w:rPr>
        <w:t>总额控制</w:t>
      </w:r>
    </w:p>
    <w:p>
      <w:pPr>
        <w:spacing w:line="360" w:lineRule="auto"/>
        <w:ind w:firstLine="420" w:firstLineChars="200"/>
        <w:rPr>
          <w:rFonts w:ascii="宋体" w:hAnsi="宋体" w:cs="仿宋_GB2312"/>
          <w:szCs w:val="21"/>
        </w:rPr>
      </w:pPr>
      <w:r>
        <w:rPr>
          <w:rFonts w:hint="eastAsia" w:ascii="宋体" w:hAnsi="宋体" w:cs="仿宋_GB2312"/>
          <w:szCs w:val="21"/>
        </w:rPr>
        <w:t>系统可实现给每个二级部门制定绩效发放总额的功能，超出发放金额的部门将无法进行申报。</w:t>
      </w: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人才项目</w:t>
      </w:r>
    </w:p>
    <w:p>
      <w:pPr>
        <w:spacing w:line="360" w:lineRule="auto"/>
        <w:ind w:firstLine="420" w:firstLineChars="200"/>
        <w:rPr>
          <w:rFonts w:ascii="宋体" w:hAnsi="宋体" w:cs="仿宋_GB2312"/>
          <w:szCs w:val="21"/>
        </w:rPr>
      </w:pPr>
      <w:r>
        <w:rPr>
          <w:rFonts w:hint="eastAsia" w:ascii="宋体" w:hAnsi="宋体" w:cs="仿宋_GB2312"/>
          <w:szCs w:val="21"/>
        </w:rPr>
        <w:t>提供对在职教职工在线进行人才项目申请和审核，申请人在系统内填写《人才项目审批表》打印后提交，可以查看申报进度，审核通过的生成人才项目汇总表。人事处管理员可以在线审核申报，监控实践过程，汇总实践信息。</w:t>
      </w:r>
    </w:p>
    <w:p>
      <w:pPr>
        <w:pStyle w:val="159"/>
        <w:spacing w:line="360" w:lineRule="auto"/>
        <w:rPr>
          <w:rFonts w:hAnsi="宋体"/>
          <w:color w:val="auto"/>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党外人员</w:t>
      </w:r>
      <w:r>
        <w:rPr>
          <w:rFonts w:ascii="宋体" w:hAnsi="宋体" w:cs="仿宋_GB2312"/>
          <w:sz w:val="21"/>
          <w:szCs w:val="21"/>
        </w:rPr>
        <w:t>管理</w:t>
      </w:r>
    </w:p>
    <w:p>
      <w:pPr>
        <w:spacing w:line="360" w:lineRule="auto"/>
        <w:ind w:firstLine="420" w:firstLineChars="200"/>
        <w:rPr>
          <w:rFonts w:ascii="宋体" w:hAnsi="宋体" w:cs="仿宋_GB2312"/>
          <w:szCs w:val="21"/>
        </w:rPr>
      </w:pPr>
      <w:r>
        <w:rPr>
          <w:rFonts w:ascii="宋体" w:hAnsi="宋体" w:cs="仿宋_GB2312"/>
          <w:szCs w:val="21"/>
        </w:rPr>
        <w:t>该应用可以方便校领导或部门管理员查看并管理全校党外人员信息，可以实现查看、修改、筛选、下载和报表分析等功能。</w:t>
      </w:r>
    </w:p>
    <w:p>
      <w:pPr>
        <w:spacing w:line="360" w:lineRule="auto"/>
        <w:rPr>
          <w:rFonts w:ascii="宋体" w:hAnsi="宋体" w:cs="宋体"/>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辅导员</w:t>
      </w:r>
      <w:r>
        <w:rPr>
          <w:rFonts w:hint="eastAsia" w:ascii="宋体" w:hAnsi="宋体" w:cs="仿宋_GB2312"/>
          <w:sz w:val="21"/>
          <w:szCs w:val="21"/>
        </w:rPr>
        <w:t>管理</w:t>
      </w:r>
    </w:p>
    <w:p>
      <w:pPr>
        <w:spacing w:line="360" w:lineRule="auto"/>
        <w:ind w:firstLine="420" w:firstLineChars="200"/>
        <w:rPr>
          <w:rFonts w:ascii="宋体" w:hAnsi="宋体" w:cs="仿宋_GB2312"/>
          <w:szCs w:val="21"/>
        </w:rPr>
      </w:pPr>
      <w:r>
        <w:rPr>
          <w:rFonts w:hint="eastAsia" w:ascii="宋体" w:hAnsi="宋体" w:cs="仿宋_GB2312"/>
          <w:szCs w:val="21"/>
        </w:rPr>
        <w:t>该应用可以方便校领导或部门管理员查看并管理辅导员信息，可以实现查看、修改、筛选、下载和报表分析等功能。</w:t>
      </w:r>
    </w:p>
    <w:p>
      <w:pPr>
        <w:spacing w:line="360" w:lineRule="auto"/>
        <w:rPr>
          <w:rFonts w:ascii="宋体" w:hAnsi="宋体" w:cs="宋体"/>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师资队伍</w:t>
      </w:r>
    </w:p>
    <w:p>
      <w:pPr>
        <w:spacing w:line="360" w:lineRule="auto"/>
        <w:ind w:firstLine="420" w:firstLineChars="200"/>
        <w:rPr>
          <w:rFonts w:ascii="宋体" w:hAnsi="宋体" w:cs="仿宋_GB2312"/>
          <w:szCs w:val="21"/>
        </w:rPr>
      </w:pPr>
      <w:r>
        <w:rPr>
          <w:rFonts w:hint="eastAsia" w:ascii="宋体" w:hAnsi="宋体" w:cs="仿宋_GB2312"/>
          <w:szCs w:val="21"/>
        </w:rPr>
        <w:t>该应用可以方便校领导或部门管理员查看并管理全校师资队伍信息，可以实现查看、修改、筛选、下载和报表分析等功能。</w:t>
      </w:r>
    </w:p>
    <w:p>
      <w:pPr>
        <w:spacing w:line="360" w:lineRule="auto"/>
        <w:rPr>
          <w:rFonts w:ascii="宋体" w:hAnsi="宋体" w:cs="宋体"/>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中层</w:t>
      </w:r>
      <w:r>
        <w:rPr>
          <w:rFonts w:hint="eastAsia" w:ascii="宋体" w:hAnsi="宋体" w:cs="仿宋_GB2312"/>
          <w:sz w:val="21"/>
          <w:szCs w:val="21"/>
        </w:rPr>
        <w:t>管理</w:t>
      </w:r>
    </w:p>
    <w:p>
      <w:pPr>
        <w:spacing w:line="360" w:lineRule="auto"/>
        <w:ind w:firstLine="420" w:firstLineChars="200"/>
        <w:rPr>
          <w:rFonts w:ascii="宋体" w:hAnsi="宋体" w:cs="仿宋_GB2312"/>
          <w:szCs w:val="21"/>
        </w:rPr>
      </w:pPr>
      <w:r>
        <w:rPr>
          <w:rFonts w:hint="eastAsia" w:ascii="宋体" w:hAnsi="宋体" w:cs="仿宋_GB2312"/>
          <w:szCs w:val="21"/>
        </w:rPr>
        <w:t>该应用可以方便校领导或部门管理员查看并管理全校中层干部信息，可以实现查看、修改、筛选、下载和报表分析等功能。</w:t>
      </w:r>
    </w:p>
    <w:p>
      <w:pPr>
        <w:pStyle w:val="159"/>
        <w:spacing w:line="360" w:lineRule="auto"/>
        <w:rPr>
          <w:rFonts w:hAnsi="宋体"/>
          <w:color w:val="auto"/>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编外人员</w:t>
      </w:r>
    </w:p>
    <w:p>
      <w:pPr>
        <w:spacing w:line="360" w:lineRule="auto"/>
        <w:ind w:firstLine="420" w:firstLineChars="200"/>
        <w:rPr>
          <w:rFonts w:ascii="宋体" w:hAnsi="宋体"/>
          <w:szCs w:val="21"/>
        </w:rPr>
      </w:pPr>
      <w:r>
        <w:rPr>
          <w:rFonts w:hint="eastAsia" w:ascii="宋体" w:hAnsi="宋体" w:cs="仿宋_GB2312"/>
          <w:szCs w:val="21"/>
        </w:rPr>
        <w:t>信息管理</w:t>
      </w:r>
      <w:r>
        <w:rPr>
          <w:rFonts w:ascii="宋体" w:hAnsi="宋体" w:cs="仿宋_GB2312"/>
          <w:szCs w:val="21"/>
        </w:rPr>
        <w:t>：</w:t>
      </w:r>
      <w:r>
        <w:rPr>
          <w:rFonts w:hint="eastAsia" w:ascii="宋体" w:hAnsi="宋体" w:cs="仿宋_GB2312"/>
          <w:szCs w:val="21"/>
        </w:rPr>
        <w:t>该应用可以方便校领导或部门管理员查看并管理全校编外人员信息，可以实现查看、修改、筛选、下载和报表分析等功能。</w:t>
      </w:r>
    </w:p>
    <w:p>
      <w:pPr>
        <w:spacing w:line="360" w:lineRule="auto"/>
        <w:ind w:firstLine="420" w:firstLineChars="200"/>
        <w:rPr>
          <w:rFonts w:ascii="宋体" w:hAnsi="宋体" w:cs="仿宋_GB2312"/>
          <w:szCs w:val="21"/>
        </w:rPr>
      </w:pPr>
      <w:r>
        <w:rPr>
          <w:rFonts w:hint="eastAsia" w:ascii="宋体" w:hAnsi="宋体" w:cs="仿宋_GB2312"/>
          <w:szCs w:val="21"/>
        </w:rPr>
        <w:t>编外人员入职</w:t>
      </w:r>
      <w:r>
        <w:rPr>
          <w:rFonts w:ascii="宋体" w:hAnsi="宋体" w:cs="仿宋_GB2312"/>
          <w:szCs w:val="21"/>
        </w:rPr>
        <w:t>：</w:t>
      </w:r>
      <w:r>
        <w:rPr>
          <w:rFonts w:hint="eastAsia" w:ascii="宋体" w:hAnsi="宋体" w:cs="仿宋_GB2312"/>
          <w:szCs w:val="21"/>
        </w:rPr>
        <w:t>该应用可以方便全校其它部门对编外人员进行入职协同。</w:t>
      </w:r>
    </w:p>
    <w:p>
      <w:pPr>
        <w:spacing w:line="360" w:lineRule="auto"/>
        <w:rPr>
          <w:rFonts w:ascii="宋体" w:hAnsi="宋体" w:cs="宋体"/>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资格证书</w:t>
      </w:r>
    </w:p>
    <w:p>
      <w:pPr>
        <w:spacing w:line="360" w:lineRule="auto"/>
        <w:ind w:firstLine="420" w:firstLineChars="200"/>
        <w:rPr>
          <w:rFonts w:ascii="宋体" w:hAnsi="宋体" w:cs="仿宋_GB2312"/>
          <w:szCs w:val="21"/>
        </w:rPr>
      </w:pPr>
      <w:r>
        <w:rPr>
          <w:rFonts w:hint="eastAsia" w:ascii="宋体" w:hAnsi="宋体" w:cs="仿宋_GB2312"/>
          <w:szCs w:val="21"/>
        </w:rPr>
        <w:t>该应用可实现全校教职工在线记录个人各类资格证书并上传相关佐证，管理员审核、存档的过程管理。并且可以实现管理员直接批量导入证书的功能。</w:t>
      </w:r>
    </w:p>
    <w:p>
      <w:pPr>
        <w:pStyle w:val="159"/>
        <w:spacing w:line="360" w:lineRule="auto"/>
        <w:rPr>
          <w:rFonts w:hAnsi="宋体"/>
          <w:color w:val="auto"/>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流程定义工具</w:t>
      </w:r>
    </w:p>
    <w:p>
      <w:pPr>
        <w:spacing w:line="360" w:lineRule="auto"/>
        <w:ind w:firstLine="420" w:firstLineChars="200"/>
        <w:rPr>
          <w:rFonts w:ascii="宋体" w:hAnsi="宋体" w:cs="仿宋_GB2312"/>
          <w:szCs w:val="21"/>
        </w:rPr>
      </w:pPr>
      <w:r>
        <w:rPr>
          <w:rFonts w:hint="eastAsia" w:ascii="宋体" w:hAnsi="宋体" w:cs="仿宋_GB2312"/>
          <w:szCs w:val="21"/>
        </w:rPr>
        <w:t>采用拖、拉、拽等图形化自定义相应类别的审批流程（表格定制、流程审批点定制），很方便的进行增、删、改。</w:t>
      </w:r>
    </w:p>
    <w:p>
      <w:pPr>
        <w:spacing w:line="360" w:lineRule="auto"/>
        <w:ind w:firstLine="420" w:firstLineChars="200"/>
        <w:rPr>
          <w:rFonts w:ascii="宋体" w:hAnsi="宋体" w:cs="仿宋_GB2312"/>
          <w:szCs w:val="21"/>
        </w:rPr>
      </w:pPr>
      <w:r>
        <w:rPr>
          <w:rFonts w:hint="eastAsia" w:ascii="宋体" w:hAnsi="宋体" w:cs="仿宋_GB2312"/>
          <w:szCs w:val="21"/>
        </w:rPr>
        <w:t>通过角色矩阵实现流程权限和系统权限的设定。</w:t>
      </w:r>
    </w:p>
    <w:p>
      <w:pPr>
        <w:spacing w:line="360" w:lineRule="auto"/>
        <w:ind w:firstLine="420" w:firstLineChars="200"/>
        <w:rPr>
          <w:rFonts w:ascii="宋体" w:hAnsi="宋体" w:cs="仿宋_GB2312"/>
          <w:szCs w:val="21"/>
        </w:rPr>
      </w:pPr>
      <w:r>
        <w:rPr>
          <w:rFonts w:hint="eastAsia" w:ascii="宋体" w:hAnsi="宋体" w:cs="仿宋_GB2312"/>
          <w:szCs w:val="21"/>
        </w:rPr>
        <w:t>可支持流程审批按照部门、岗位、群组、安全级别、职务级别等多种方式以及组合，并支持批次化的处理。</w:t>
      </w:r>
    </w:p>
    <w:p>
      <w:pPr>
        <w:spacing w:line="360" w:lineRule="auto"/>
        <w:ind w:firstLine="420" w:firstLineChars="200"/>
        <w:rPr>
          <w:rFonts w:ascii="宋体" w:hAnsi="宋体" w:cs="仿宋_GB2312"/>
          <w:szCs w:val="21"/>
        </w:rPr>
      </w:pPr>
      <w:r>
        <w:rPr>
          <w:rFonts w:hint="eastAsia" w:ascii="宋体" w:hAnsi="宋体" w:cs="仿宋_GB2312"/>
          <w:szCs w:val="21"/>
        </w:rPr>
        <w:t>被赋予一定权限的普通用户，可对已设计的流转过程进行修改，以更加贴近实际场景的有效处理。</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系统管理工具</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系统设置</w:t>
      </w:r>
    </w:p>
    <w:p>
      <w:pPr>
        <w:spacing w:line="360" w:lineRule="auto"/>
        <w:ind w:firstLine="420" w:firstLineChars="200"/>
        <w:rPr>
          <w:rFonts w:ascii="宋体" w:hAnsi="宋体" w:cs="仿宋_GB2312"/>
          <w:szCs w:val="21"/>
        </w:rPr>
      </w:pPr>
      <w:r>
        <w:rPr>
          <w:rFonts w:hint="eastAsia" w:ascii="宋体" w:hAnsi="宋体" w:cs="仿宋_GB2312"/>
          <w:szCs w:val="21"/>
        </w:rPr>
        <w:t>实现类别（人员类、岗位类、单位类）及相应指标、标准代码管理等；登录显示界面风格、具有权限的业务功能及相应流程情况、以及相关数据图表展现等等大数据展示中心。</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权限管理</w:t>
      </w:r>
    </w:p>
    <w:p>
      <w:pPr>
        <w:spacing w:line="360" w:lineRule="auto"/>
        <w:ind w:firstLine="420" w:firstLineChars="200"/>
        <w:rPr>
          <w:rFonts w:ascii="宋体" w:hAnsi="宋体" w:cs="仿宋_GB2312"/>
          <w:color w:val="000000" w:themeColor="text1"/>
          <w:szCs w:val="21"/>
        </w:rPr>
      </w:pPr>
      <w:r>
        <w:rPr>
          <w:rFonts w:hint="eastAsia" w:ascii="宋体" w:hAnsi="宋体" w:cs="仿宋_GB2312"/>
          <w:color w:val="000000" w:themeColor="text1"/>
          <w:szCs w:val="21"/>
          <w:lang w:eastAsia="zh-Hans"/>
        </w:rPr>
        <w:t>系统实现对数据和功能的</w:t>
      </w:r>
      <w:r>
        <w:rPr>
          <w:rFonts w:hint="eastAsia" w:ascii="宋体" w:hAnsi="宋体" w:cs="仿宋_GB2312"/>
          <w:color w:val="000000" w:themeColor="text1"/>
          <w:szCs w:val="21"/>
        </w:rPr>
        <w:t>分组、分角色、分类别、分业务</w:t>
      </w:r>
      <w:r>
        <w:rPr>
          <w:rFonts w:hint="eastAsia" w:ascii="宋体" w:hAnsi="宋体" w:cs="仿宋_GB2312"/>
          <w:color w:val="000000" w:themeColor="text1"/>
          <w:szCs w:val="21"/>
          <w:lang w:eastAsia="zh-Hans"/>
        </w:rPr>
        <w:t>进行多重附加</w:t>
      </w:r>
      <w:r>
        <w:rPr>
          <w:rFonts w:hint="eastAsia" w:ascii="宋体" w:hAnsi="宋体" w:cs="仿宋_GB2312"/>
          <w:color w:val="000000" w:themeColor="text1"/>
          <w:szCs w:val="21"/>
        </w:rPr>
        <w:t>权限设置管理等，用户权限支持叠加授权。</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功能管理</w:t>
      </w:r>
    </w:p>
    <w:p>
      <w:pPr>
        <w:spacing w:line="360" w:lineRule="auto"/>
        <w:ind w:firstLine="420" w:firstLineChars="200"/>
        <w:rPr>
          <w:rFonts w:ascii="宋体" w:hAnsi="宋体" w:cs="仿宋_GB2312"/>
          <w:szCs w:val="21"/>
        </w:rPr>
      </w:pPr>
      <w:r>
        <w:rPr>
          <w:rFonts w:hint="eastAsia" w:ascii="宋体" w:hAnsi="宋体" w:cs="仿宋_GB2312"/>
          <w:szCs w:val="21"/>
        </w:rPr>
        <w:t>系统中的所有模块均可根据工作需要进行开关，实现教职工、二级单位功能分步开放。</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日志管理</w:t>
      </w:r>
    </w:p>
    <w:p>
      <w:pPr>
        <w:spacing w:line="360" w:lineRule="auto"/>
        <w:ind w:firstLine="420" w:firstLineChars="200"/>
        <w:rPr>
          <w:rFonts w:ascii="宋体" w:hAnsi="宋体" w:cs="仿宋_GB2312"/>
          <w:szCs w:val="21"/>
        </w:rPr>
      </w:pPr>
      <w:r>
        <w:rPr>
          <w:rFonts w:hint="eastAsia" w:ascii="宋体" w:hAnsi="宋体" w:cs="仿宋_GB2312"/>
          <w:szCs w:val="21"/>
        </w:rPr>
        <w:t>详细记载人员关键信息的修改痕迹（修改时间、IP地址、用户名、修改前数据值、修改后数据值）。</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数据快照管理</w:t>
      </w:r>
    </w:p>
    <w:p>
      <w:pPr>
        <w:spacing w:line="360" w:lineRule="auto"/>
        <w:ind w:firstLine="420" w:firstLineChars="200"/>
        <w:rPr>
          <w:rFonts w:ascii="宋体" w:hAnsi="宋体" w:cs="仿宋_GB2312"/>
          <w:szCs w:val="21"/>
        </w:rPr>
      </w:pPr>
      <w:r>
        <w:rPr>
          <w:rFonts w:hint="eastAsia" w:ascii="宋体" w:hAnsi="宋体" w:cs="仿宋_GB2312"/>
          <w:szCs w:val="21"/>
        </w:rPr>
        <w:t>实现查询过往某个时间点的教职工所有信息数据和导出，并可基于不同时间点数据进行历史数据的对比分析。</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数据备份管理</w:t>
      </w:r>
    </w:p>
    <w:p>
      <w:pPr>
        <w:spacing w:line="360" w:lineRule="auto"/>
        <w:ind w:firstLine="420" w:firstLineChars="200"/>
        <w:rPr>
          <w:rFonts w:ascii="宋体" w:hAnsi="宋体" w:cs="仿宋_GB2312"/>
          <w:szCs w:val="21"/>
        </w:rPr>
      </w:pPr>
      <w:r>
        <w:rPr>
          <w:rFonts w:hint="eastAsia" w:ascii="宋体" w:hAnsi="宋体" w:cs="仿宋_GB2312"/>
          <w:szCs w:val="21"/>
        </w:rPr>
        <w:t>能提供数据备份和系统备份两种方式。</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自定义统计报表</w:t>
      </w:r>
    </w:p>
    <w:p>
      <w:pPr>
        <w:spacing w:line="360" w:lineRule="auto"/>
        <w:ind w:firstLine="420" w:firstLineChars="200"/>
        <w:rPr>
          <w:rFonts w:ascii="宋体" w:hAnsi="宋体" w:cs="仿宋_GB2312"/>
          <w:szCs w:val="21"/>
        </w:rPr>
      </w:pPr>
      <w:r>
        <w:rPr>
          <w:rFonts w:hint="eastAsia" w:ascii="宋体" w:hAnsi="宋体" w:cs="仿宋_GB2312"/>
          <w:szCs w:val="21"/>
        </w:rPr>
        <w:t>预制《高基报表》、《全国教师管理信息系统》采集表一键生成上报数据并能顺利导入到各系统中，自助设计多维报表，实现数据反查、导入和导出excel统计表功能。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消息提醒</w:t>
      </w:r>
    </w:p>
    <w:p>
      <w:pPr>
        <w:spacing w:line="360" w:lineRule="auto"/>
        <w:ind w:firstLine="420" w:firstLineChars="200"/>
        <w:rPr>
          <w:rFonts w:ascii="宋体" w:hAnsi="宋体" w:cs="仿宋_GB2312"/>
          <w:szCs w:val="21"/>
        </w:rPr>
      </w:pPr>
      <w:r>
        <w:rPr>
          <w:rFonts w:hint="eastAsia" w:ascii="宋体" w:hAnsi="宋体" w:cs="仿宋_GB2312"/>
          <w:szCs w:val="21"/>
        </w:rPr>
        <w:t>合同到期、待办事项、相关业务联动（如新进未参保、回国复保、出国停保、调出停保、停薪或恢复起薪等，系统自动通知师资办、人事科、人才办等相关人员）等预警管理，对外通知、内部公告、短信提醒等。</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系统配置工具</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数据表管理</w:t>
      </w:r>
    </w:p>
    <w:p>
      <w:pPr>
        <w:spacing w:line="360" w:lineRule="auto"/>
        <w:ind w:firstLine="420" w:firstLineChars="200"/>
        <w:rPr>
          <w:rFonts w:ascii="宋体" w:hAnsi="宋体" w:cs="仿宋_GB2312"/>
          <w:szCs w:val="21"/>
        </w:rPr>
      </w:pPr>
      <w:r>
        <w:rPr>
          <w:rFonts w:hint="eastAsia" w:ascii="宋体" w:hAnsi="宋体" w:cs="仿宋_GB2312"/>
          <w:szCs w:val="21"/>
        </w:rPr>
        <w:t>提供可以在人员基本信息表中增删改字段，指定其类型（包含文本型、日期型、数字型、数据字典型、附件型、审核意见型）；</w:t>
      </w:r>
    </w:p>
    <w:p>
      <w:pPr>
        <w:spacing w:line="360" w:lineRule="auto"/>
        <w:ind w:firstLine="420" w:firstLineChars="200"/>
        <w:rPr>
          <w:rFonts w:ascii="宋体" w:hAnsi="宋体" w:cs="仿宋_GB2312"/>
          <w:b/>
          <w:bCs/>
          <w:szCs w:val="21"/>
        </w:rPr>
      </w:pPr>
      <w:r>
        <w:rPr>
          <w:rFonts w:hint="eastAsia" w:ascii="宋体" w:hAnsi="宋体" w:cs="仿宋_GB2312"/>
          <w:szCs w:val="21"/>
        </w:rPr>
        <w:t>提供可以灵活创建人员各种经历信息表，并且可以继续创建经历信息表中的字段。</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数据字典管理</w:t>
      </w:r>
    </w:p>
    <w:p>
      <w:pPr>
        <w:spacing w:line="360" w:lineRule="auto"/>
        <w:ind w:firstLine="420" w:firstLineChars="200"/>
        <w:rPr>
          <w:rFonts w:ascii="宋体" w:hAnsi="宋体" w:cs="仿宋_GB2312"/>
          <w:szCs w:val="21"/>
        </w:rPr>
      </w:pPr>
      <w:r>
        <w:rPr>
          <w:rFonts w:hint="eastAsia" w:ascii="宋体" w:hAnsi="宋体" w:cs="仿宋_GB2312"/>
          <w:szCs w:val="21"/>
        </w:rPr>
        <w:t>可以指定编辑系统中任意一个数据字典，也可以授权给某一个角色。</w:t>
      </w:r>
    </w:p>
    <w:p>
      <w:pPr>
        <w:spacing w:line="360" w:lineRule="auto"/>
        <w:ind w:firstLine="420" w:firstLineChars="200"/>
        <w:rPr>
          <w:rFonts w:ascii="宋体" w:hAnsi="宋体" w:cs="仿宋_GB2312"/>
          <w:b/>
          <w:bCs/>
          <w:szCs w:val="21"/>
        </w:rPr>
      </w:pPr>
      <w:r>
        <w:rPr>
          <w:rFonts w:hint="eastAsia" w:ascii="宋体" w:hAnsi="宋体" w:cs="仿宋_GB2312"/>
          <w:szCs w:val="21"/>
        </w:rPr>
        <w:t>数据字典即系统中的码表管理。用管理员账户进入系统后，可以找到【全码表维护】功能，在这个功能里面，可以看到系统现有的全部数据字典。</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表单配置</w:t>
      </w:r>
    </w:p>
    <w:p>
      <w:pPr>
        <w:spacing w:line="360" w:lineRule="auto"/>
        <w:ind w:firstLine="420" w:firstLineChars="200"/>
        <w:rPr>
          <w:rFonts w:ascii="宋体" w:hAnsi="宋体" w:cs="仿宋_GB2312"/>
          <w:szCs w:val="21"/>
        </w:rPr>
      </w:pPr>
      <w:r>
        <w:rPr>
          <w:rFonts w:hint="eastAsia" w:ascii="宋体" w:hAnsi="宋体" w:cs="仿宋_GB2312"/>
          <w:szCs w:val="21"/>
        </w:rPr>
        <w:t>高校人事管理业务是由多个业务场景组成，这些业务场景通常都会涉及到干部考核、民主评议、中层竞聘、信访举报、参政议政、试用期考核、岗聘申请、岗聘申诉、月发工资信息、工资变动、专业套改、管理套改、人员社保、人员公积金、课表信息、实践教学、实验教学、教改项目、教材建设、开设课程等业务场景。这些业务场景都与人事管理业务密切相关。而这些业务在开展过程汇总，会需要利用大量的表单，这些表单在平台中称之为视图、每个业务场景的表达成为“样张”。正是在不同的“样张”下存在多个表单，即视图，故表单配置功能显得更加重要。</w:t>
      </w:r>
    </w:p>
    <w:p>
      <w:pPr>
        <w:spacing w:line="360" w:lineRule="auto"/>
        <w:ind w:firstLine="420" w:firstLineChars="200"/>
        <w:rPr>
          <w:rFonts w:ascii="宋体" w:hAnsi="宋体" w:cs="仿宋_GB2312"/>
          <w:szCs w:val="21"/>
        </w:rPr>
      </w:pPr>
      <w:r>
        <w:rPr>
          <w:rFonts w:hint="eastAsia" w:ascii="宋体" w:hAnsi="宋体" w:cs="仿宋_GB2312"/>
          <w:szCs w:val="21"/>
        </w:rPr>
        <w:t>通过表单配置，可以针对不同样张下的表单，通过自定义的方式进行灵活配置，配置涉及表单要显示哪些字段、显示模板、排序方式、高拍方向等。</w:t>
      </w:r>
    </w:p>
    <w:p>
      <w:pPr>
        <w:spacing w:line="360" w:lineRule="auto"/>
        <w:ind w:firstLine="420" w:firstLineChars="200"/>
        <w:rPr>
          <w:rFonts w:ascii="宋体" w:hAnsi="宋体" w:cs="仿宋_GB2312"/>
          <w:b/>
          <w:bCs/>
          <w:szCs w:val="21"/>
        </w:rPr>
      </w:pPr>
      <w:r>
        <w:rPr>
          <w:rFonts w:hint="eastAsia" w:ascii="宋体" w:hAnsi="宋体" w:cs="仿宋_GB2312"/>
          <w:szCs w:val="21"/>
        </w:rPr>
        <w:t>用户在样张库中选择需要调整表单的业务场景。</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页面配置</w:t>
      </w:r>
    </w:p>
    <w:p>
      <w:pPr>
        <w:spacing w:line="360" w:lineRule="auto"/>
        <w:ind w:firstLine="420" w:firstLineChars="200"/>
        <w:rPr>
          <w:rFonts w:ascii="宋体" w:hAnsi="宋体" w:cs="仿宋_GB2312"/>
          <w:szCs w:val="21"/>
        </w:rPr>
      </w:pPr>
      <w:r>
        <w:rPr>
          <w:rFonts w:hint="eastAsia" w:ascii="宋体" w:hAnsi="宋体" w:cs="仿宋_GB2312"/>
          <w:szCs w:val="21"/>
        </w:rPr>
        <w:t>首页需支持所有信息变更待审核的待办任务；可以支持工作通知的提醒；支持人员信息的快速查询。</w:t>
      </w:r>
    </w:p>
    <w:p>
      <w:pPr>
        <w:spacing w:line="360" w:lineRule="auto"/>
        <w:ind w:firstLine="420" w:firstLineChars="200"/>
        <w:rPr>
          <w:rFonts w:ascii="宋体" w:hAnsi="宋体" w:cs="仿宋_GB2312"/>
          <w:szCs w:val="21"/>
        </w:rPr>
      </w:pPr>
      <w:r>
        <w:rPr>
          <w:rFonts w:hint="eastAsia" w:ascii="宋体" w:hAnsi="宋体" w:cs="仿宋_GB2312"/>
          <w:szCs w:val="21"/>
        </w:rPr>
        <w:t>当人事处管理员用帐号和密码登录到系统后，首先出现的是首页界面。在这个界面可以看到以下几个模块。</w:t>
      </w:r>
    </w:p>
    <w:p>
      <w:pPr>
        <w:spacing w:line="360" w:lineRule="auto"/>
        <w:ind w:firstLine="420" w:firstLineChars="200"/>
        <w:rPr>
          <w:rFonts w:ascii="宋体" w:hAnsi="宋体" w:cs="仿宋_GB2312"/>
          <w:szCs w:val="21"/>
        </w:rPr>
      </w:pPr>
      <w:r>
        <w:rPr>
          <w:rFonts w:hint="eastAsia" w:ascii="宋体" w:hAnsi="宋体" w:cs="仿宋_GB2312"/>
          <w:szCs w:val="21"/>
        </w:rPr>
        <w:t>举例：待办事项、通知公告、业务模块、热门应用等</w:t>
      </w:r>
    </w:p>
    <w:p>
      <w:pPr>
        <w:spacing w:line="360" w:lineRule="auto"/>
        <w:ind w:firstLine="420" w:firstLineChars="200"/>
        <w:rPr>
          <w:rFonts w:ascii="宋体" w:hAnsi="宋体" w:cs="仿宋_GB2312"/>
          <w:szCs w:val="21"/>
        </w:rPr>
      </w:pPr>
      <w:r>
        <w:rPr>
          <w:rFonts w:hint="eastAsia" w:ascii="宋体" w:hAnsi="宋体" w:cs="仿宋_GB2312"/>
          <w:szCs w:val="21"/>
        </w:rPr>
        <w:t>首页需支持所有信息变更待审核的待办任务；可以支持工作通知的提醒；支持人员信息的快速查询。</w:t>
      </w:r>
    </w:p>
    <w:p>
      <w:pPr>
        <w:spacing w:line="360" w:lineRule="auto"/>
        <w:ind w:firstLine="420" w:firstLineChars="200"/>
        <w:rPr>
          <w:rFonts w:ascii="宋体" w:hAnsi="宋体" w:cs="仿宋_GB2312"/>
          <w:szCs w:val="21"/>
        </w:rPr>
      </w:pPr>
      <w:r>
        <w:rPr>
          <w:rFonts w:hint="eastAsia" w:ascii="宋体" w:hAnsi="宋体" w:cs="仿宋_GB2312"/>
          <w:szCs w:val="21"/>
        </w:rPr>
        <w:t>当人事处管理员用帐号和密码登录到系统后，首先出现的是首页界面。在这个界面可以看到以下几个模块。</w:t>
      </w:r>
    </w:p>
    <w:p>
      <w:pPr>
        <w:spacing w:line="360" w:lineRule="auto"/>
        <w:ind w:firstLine="420" w:firstLineChars="200"/>
        <w:rPr>
          <w:rFonts w:ascii="宋体" w:hAnsi="宋体" w:cs="仿宋_GB2312"/>
          <w:b/>
          <w:bCs/>
          <w:szCs w:val="21"/>
        </w:rPr>
      </w:pPr>
      <w:r>
        <w:rPr>
          <w:rFonts w:hint="eastAsia" w:ascii="宋体" w:hAnsi="宋体" w:cs="仿宋_GB2312"/>
          <w:szCs w:val="21"/>
        </w:rPr>
        <w:t>举例：待办事项、通知公告、业务模块、热门应用等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应用配置</w:t>
      </w:r>
    </w:p>
    <w:p>
      <w:pPr>
        <w:spacing w:line="360" w:lineRule="auto"/>
        <w:ind w:firstLine="420" w:firstLineChars="200"/>
        <w:rPr>
          <w:rFonts w:ascii="宋体" w:hAnsi="宋体" w:cs="仿宋_GB2312"/>
          <w:szCs w:val="21"/>
        </w:rPr>
      </w:pPr>
      <w:r>
        <w:rPr>
          <w:rFonts w:hint="eastAsia" w:ascii="宋体" w:hAnsi="宋体" w:cs="仿宋_GB2312"/>
          <w:szCs w:val="21"/>
        </w:rPr>
        <w:t>可以创建不同子系统，编辑其地址、LOGO、登录图等信息。</w:t>
      </w:r>
    </w:p>
    <w:p>
      <w:pPr>
        <w:spacing w:line="360" w:lineRule="auto"/>
        <w:ind w:firstLine="420" w:firstLineChars="200"/>
        <w:rPr>
          <w:rFonts w:ascii="宋体" w:hAnsi="宋体" w:cs="仿宋_GB2312"/>
          <w:szCs w:val="21"/>
        </w:rPr>
      </w:pPr>
      <w:r>
        <w:rPr>
          <w:rFonts w:hint="eastAsia" w:ascii="宋体" w:hAnsi="宋体" w:cs="仿宋_GB2312"/>
          <w:szCs w:val="21"/>
        </w:rPr>
        <w:t>学校使用系统的功能按照不同维度的分类，系统可能会在使用过程中增加新的业务需求，系统可支持自定义增加模块的功能。</w:t>
      </w:r>
    </w:p>
    <w:p>
      <w:pPr>
        <w:spacing w:line="360" w:lineRule="auto"/>
        <w:ind w:firstLine="420" w:firstLineChars="200"/>
        <w:rPr>
          <w:rFonts w:ascii="宋体" w:hAnsi="宋体" w:cs="仿宋_GB2312"/>
          <w:szCs w:val="21"/>
        </w:rPr>
      </w:pPr>
      <w:r>
        <w:rPr>
          <w:rFonts w:hint="eastAsia" w:ascii="宋体" w:hAnsi="宋体" w:cs="仿宋_GB2312"/>
          <w:szCs w:val="21"/>
        </w:rPr>
        <w:t>具体操作：通过在【系统管理员】角色进入系统，选择左侧栏的“维护子系统”，进入后可以看到系统现有的所有子系统，点击任意子系统名称，即可以对当前子系统的信息进行修改或者删除。</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移动端自助服务</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移动端首页</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该应用可以实现可以查看个人相关简历信息，查看通讯录、查看考勤排行。</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数据分析大厅</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该应用可以实现按照学校人员类别分析职称、学历、年龄分布等情况，</w:t>
      </w:r>
      <w:r>
        <w:rPr>
          <w:rFonts w:ascii="宋体" w:hAnsi="宋体" w:cs="仿宋_GB2312"/>
          <w:szCs w:val="21"/>
        </w:rPr>
        <w:t>是</w:t>
      </w:r>
      <w:r>
        <w:rPr>
          <w:rFonts w:hint="eastAsia" w:ascii="宋体" w:hAnsi="宋体" w:cs="仿宋_GB2312"/>
          <w:szCs w:val="21"/>
        </w:rPr>
        <w:t>手机</w:t>
      </w:r>
      <w:r>
        <w:rPr>
          <w:rFonts w:ascii="宋体" w:hAnsi="宋体" w:cs="仿宋_GB2312"/>
          <w:szCs w:val="21"/>
        </w:rPr>
        <w:t>移动</w:t>
      </w:r>
      <w:r>
        <w:rPr>
          <w:rFonts w:hint="eastAsia" w:ascii="宋体" w:hAnsi="宋体" w:cs="仿宋_GB2312"/>
          <w:szCs w:val="21"/>
        </w:rPr>
        <w:t>端的领导驾驶仓。</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业务申请大厅</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该应用可以实现日常业务的申请，比如校内调动申请、转正申请、学历进修申请、职务变动申请等。</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信息提醒</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该应用可以实现提醒教职工进行数据补全，并跟踪采集进度。</w:t>
      </w: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自助打印系统</w:t>
      </w:r>
    </w:p>
    <w:p>
      <w:pPr>
        <w:spacing w:line="360" w:lineRule="auto"/>
        <w:ind w:firstLine="420" w:firstLineChars="200"/>
        <w:rPr>
          <w:rFonts w:ascii="宋体" w:hAnsi="宋体" w:cs="仿宋_GB2312"/>
          <w:szCs w:val="21"/>
        </w:rPr>
      </w:pPr>
      <w:r>
        <w:rPr>
          <w:rFonts w:hint="eastAsia" w:ascii="宋体" w:hAnsi="宋体" w:cs="仿宋_GB2312"/>
          <w:szCs w:val="21"/>
        </w:rPr>
        <w:t>配置自助服务终端设备，对需网上提前申报的证明（如需核查人事档案出具的亲属关系证明以及其他需要审批的证明等），以及不需网上申报即可直接办理的在职证明、收入证明、职称证明等实现教职工一次自助打印。</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申请及审批流程</w:t>
      </w:r>
    </w:p>
    <w:p>
      <w:pPr>
        <w:spacing w:line="360" w:lineRule="auto"/>
        <w:ind w:firstLine="420" w:firstLineChars="200"/>
        <w:rPr>
          <w:rFonts w:ascii="宋体" w:hAnsi="宋体" w:cs="仿宋_GB2312"/>
          <w:szCs w:val="21"/>
        </w:rPr>
      </w:pPr>
      <w:r>
        <w:rPr>
          <w:rFonts w:hint="eastAsia" w:ascii="宋体" w:hAnsi="宋体" w:cs="仿宋_GB2312"/>
          <w:szCs w:val="21"/>
        </w:rPr>
        <w:t>教职工可在线填写出具证明的申请，包括证明类型、出具时间、证明用途等。出具证明的申请经人事处审核通过后即可进入系统打印。</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证明打印</w:t>
      </w:r>
    </w:p>
    <w:p>
      <w:pPr>
        <w:spacing w:line="360" w:lineRule="auto"/>
        <w:ind w:firstLine="420" w:firstLineChars="200"/>
        <w:rPr>
          <w:rFonts w:ascii="宋体" w:hAnsi="宋体" w:cs="仿宋_GB2312"/>
          <w:szCs w:val="21"/>
        </w:rPr>
      </w:pPr>
      <w:r>
        <w:rPr>
          <w:rFonts w:hint="eastAsia" w:ascii="宋体" w:hAnsi="宋体" w:cs="仿宋_GB2312"/>
          <w:szCs w:val="21"/>
        </w:rPr>
        <w:t>系统根据证明打印模板，需自动从系统中提取相关数据，生成打印表单。比如打印收入证明时，系统可自动提取姓名、身份证、所在单位、年收入金额等数据，无需手工填写。</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证明防伪</w:t>
      </w:r>
    </w:p>
    <w:p>
      <w:pPr>
        <w:spacing w:line="360" w:lineRule="auto"/>
        <w:ind w:firstLine="420" w:firstLineChars="200"/>
        <w:rPr>
          <w:rFonts w:ascii="宋体" w:hAnsi="宋体" w:cs="仿宋_GB2312"/>
          <w:szCs w:val="21"/>
        </w:rPr>
      </w:pPr>
      <w:r>
        <w:rPr>
          <w:rFonts w:hint="eastAsia" w:ascii="宋体" w:hAnsi="宋体" w:cs="仿宋_GB2312"/>
          <w:szCs w:val="21"/>
        </w:rPr>
        <w:t>打印证明时，系统会自动生成一条打印记录，记录打印时间、证明类型、打印人等信息，并随机生成一个具有唯一性的验证码。验证码可附在所出具证明的右下角，在系统中查询验证码可提供防伪功能，也可通过生成水印等其他方式防伪。</w:t>
      </w:r>
    </w:p>
    <w:p>
      <w:pPr>
        <w:pStyle w:val="159"/>
        <w:spacing w:line="360" w:lineRule="auto"/>
        <w:rPr>
          <w:rFonts w:hAnsi="宋体"/>
          <w:sz w:val="21"/>
          <w:szCs w:val="21"/>
        </w:rPr>
      </w:pPr>
    </w:p>
    <w:p>
      <w:pPr>
        <w:pStyle w:val="3"/>
        <w:widowControl/>
        <w:numPr>
          <w:ilvl w:val="1"/>
          <w:numId w:val="4"/>
        </w:numPr>
        <w:spacing w:before="0" w:after="0" w:line="360" w:lineRule="auto"/>
        <w:jc w:val="left"/>
        <w:rPr>
          <w:rFonts w:ascii="宋体" w:hAnsi="宋体" w:cs="仿宋_GB2312"/>
          <w:sz w:val="21"/>
          <w:szCs w:val="21"/>
        </w:rPr>
      </w:pPr>
      <w:bookmarkStart w:id="12" w:name="_Toc54164679"/>
      <w:r>
        <w:rPr>
          <w:rFonts w:hint="eastAsia" w:ascii="宋体" w:hAnsi="宋体" w:cs="仿宋_GB2312"/>
          <w:sz w:val="21"/>
          <w:szCs w:val="21"/>
        </w:rPr>
        <w:t>招聘系统</w:t>
      </w:r>
      <w:bookmarkEnd w:id="12"/>
    </w:p>
    <w:p>
      <w:pPr>
        <w:spacing w:line="360" w:lineRule="auto"/>
        <w:ind w:firstLine="420" w:firstLineChars="200"/>
        <w:rPr>
          <w:rFonts w:ascii="宋体" w:hAnsi="宋体" w:cs="仿宋_GB2312"/>
          <w:szCs w:val="21"/>
        </w:rPr>
      </w:pPr>
      <w:r>
        <w:rPr>
          <w:rFonts w:hint="eastAsia" w:ascii="宋体" w:hAnsi="宋体" w:cs="仿宋_GB2312"/>
          <w:szCs w:val="21"/>
        </w:rPr>
        <w:t>学校各类人才的招聘、引进的全过程管理，设计统一的人才招聘和引进门户，实现PC/微信等多端的招聘和引进政策宣传渠道，实现与应聘人员之间的及时互动，建设人才池，不断收集、更新和维护人才此信息。</w:t>
      </w:r>
    </w:p>
    <w:p>
      <w:pPr>
        <w:spacing w:line="360" w:lineRule="auto"/>
        <w:ind w:firstLine="420" w:firstLineChars="200"/>
        <w:rPr>
          <w:rFonts w:ascii="宋体" w:hAnsi="宋体" w:cs="仿宋_GB2312"/>
          <w:szCs w:val="21"/>
        </w:rPr>
      </w:pPr>
      <w:r>
        <w:rPr>
          <w:rFonts w:hint="eastAsia" w:ascii="宋体" w:hAnsi="宋体" w:cs="仿宋_GB2312"/>
          <w:szCs w:val="21"/>
        </w:rPr>
        <w:t>应聘人员可以通过本系统提交简历，应聘岗位；学院（二级单位）和人事处管理人员可筛选审核应聘信息、跟踪招聘进程（面试、试讲、体检等）、统计招聘结果；应聘成功的转入进校审批过程。</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招聘审批</w:t>
      </w:r>
    </w:p>
    <w:p>
      <w:pPr>
        <w:numPr>
          <w:ilvl w:val="0"/>
          <w:numId w:val="9"/>
        </w:numPr>
        <w:spacing w:line="360" w:lineRule="auto"/>
        <w:ind w:firstLine="420" w:firstLineChars="200"/>
        <w:rPr>
          <w:rFonts w:ascii="宋体" w:hAnsi="宋体" w:cs="仿宋_GB2312"/>
          <w:szCs w:val="21"/>
        </w:rPr>
      </w:pPr>
      <w:r>
        <w:rPr>
          <w:rFonts w:hint="eastAsia" w:ascii="宋体" w:hAnsi="宋体" w:cs="仿宋_GB2312"/>
          <w:szCs w:val="21"/>
        </w:rPr>
        <w:t>岗位空缺时，各单位提出招聘需求，按</w:t>
      </w:r>
      <w:r>
        <w:rPr>
          <w:rFonts w:ascii="宋体" w:hAnsi="宋体" w:cs="仿宋_GB2312"/>
          <w:szCs w:val="21"/>
        </w:rPr>
        <w:t>采购人</w:t>
      </w:r>
      <w:r>
        <w:rPr>
          <w:rFonts w:hint="eastAsia" w:ascii="宋体" w:hAnsi="宋体" w:cs="仿宋_GB2312"/>
          <w:szCs w:val="21"/>
        </w:rPr>
        <w:t>管理规定进行流程审批。</w:t>
      </w:r>
    </w:p>
    <w:p>
      <w:pPr>
        <w:numPr>
          <w:ilvl w:val="0"/>
          <w:numId w:val="9"/>
        </w:numPr>
        <w:spacing w:line="360" w:lineRule="auto"/>
        <w:ind w:firstLine="420" w:firstLineChars="200"/>
        <w:rPr>
          <w:rFonts w:ascii="宋体" w:hAnsi="宋体" w:cs="仿宋_GB2312"/>
          <w:szCs w:val="21"/>
        </w:rPr>
      </w:pPr>
      <w:r>
        <w:rPr>
          <w:rFonts w:hint="eastAsia" w:ascii="宋体" w:hAnsi="宋体" w:cs="仿宋_GB2312"/>
          <w:szCs w:val="21"/>
        </w:rPr>
        <w:t>没有岗位空缺时，转新设岗位流程。新设岗位申请提交后，可提出新岗位的招聘需求。</w:t>
      </w:r>
    </w:p>
    <w:p>
      <w:pPr>
        <w:numPr>
          <w:ilvl w:val="0"/>
          <w:numId w:val="9"/>
        </w:numPr>
        <w:spacing w:line="360" w:lineRule="auto"/>
        <w:ind w:firstLine="420" w:firstLineChars="200"/>
        <w:rPr>
          <w:rFonts w:ascii="宋体" w:hAnsi="宋体" w:cs="仿宋_GB2312"/>
          <w:szCs w:val="21"/>
        </w:rPr>
      </w:pPr>
      <w:r>
        <w:rPr>
          <w:rFonts w:hint="eastAsia" w:ascii="宋体" w:hAnsi="宋体" w:cs="仿宋_GB2312"/>
          <w:szCs w:val="21"/>
        </w:rPr>
        <w:t>招聘信息，可自定义字段及审批流程。</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招聘公告发布</w:t>
      </w:r>
    </w:p>
    <w:p>
      <w:pPr>
        <w:spacing w:line="360" w:lineRule="auto"/>
        <w:ind w:firstLine="420" w:firstLineChars="200"/>
        <w:rPr>
          <w:rFonts w:ascii="宋体" w:hAnsi="宋体" w:cs="仿宋_GB2312"/>
          <w:szCs w:val="21"/>
        </w:rPr>
      </w:pPr>
      <w:r>
        <w:rPr>
          <w:rFonts w:hint="eastAsia" w:ascii="宋体" w:hAnsi="宋体" w:cs="仿宋_GB2312"/>
          <w:szCs w:val="21"/>
        </w:rPr>
        <w:t>招聘公告在学校招聘网发布，根据审批意见在其他媒体上发布，登记发布网址、保存截图。系统可直接根据所选岗位自动生成移动端h5界面，可用于微信分享。</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应聘受理和跟进</w:t>
      </w:r>
    </w:p>
    <w:p>
      <w:pPr>
        <w:numPr>
          <w:ilvl w:val="0"/>
          <w:numId w:val="10"/>
        </w:numPr>
        <w:spacing w:line="360" w:lineRule="auto"/>
        <w:ind w:firstLine="420" w:firstLineChars="200"/>
        <w:rPr>
          <w:rFonts w:ascii="宋体" w:hAnsi="宋体" w:cs="仿宋_GB2312"/>
          <w:szCs w:val="21"/>
        </w:rPr>
      </w:pPr>
      <w:r>
        <w:rPr>
          <w:rFonts w:hint="eastAsia" w:ascii="宋体" w:hAnsi="宋体" w:cs="仿宋_GB2312"/>
          <w:szCs w:val="21"/>
        </w:rPr>
        <w:t>个人在学校招聘网申请，注册并线上填写应聘信息简表。招聘单位自动可以看到应聘者信息，人事处也可根据应聘者情况分发给相应单位。</w:t>
      </w:r>
    </w:p>
    <w:p>
      <w:pPr>
        <w:numPr>
          <w:ilvl w:val="0"/>
          <w:numId w:val="10"/>
        </w:numPr>
        <w:spacing w:line="360" w:lineRule="auto"/>
        <w:ind w:firstLine="420" w:firstLineChars="200"/>
        <w:rPr>
          <w:rFonts w:ascii="宋体" w:hAnsi="宋体" w:cs="仿宋_GB2312"/>
          <w:szCs w:val="21"/>
        </w:rPr>
      </w:pPr>
      <w:r>
        <w:rPr>
          <w:rFonts w:hint="eastAsia" w:ascii="宋体" w:hAnsi="宋体" w:cs="仿宋_GB2312"/>
          <w:szCs w:val="21"/>
        </w:rPr>
        <w:t>具有应聘人员在线打印准考证功能，预留招聘线上交费通道。</w:t>
      </w:r>
    </w:p>
    <w:p>
      <w:pPr>
        <w:numPr>
          <w:ilvl w:val="0"/>
          <w:numId w:val="10"/>
        </w:numPr>
        <w:spacing w:line="360" w:lineRule="auto"/>
        <w:ind w:firstLine="420" w:firstLineChars="200"/>
        <w:rPr>
          <w:rFonts w:ascii="宋体" w:hAnsi="宋体" w:cs="仿宋_GB2312"/>
          <w:szCs w:val="21"/>
        </w:rPr>
      </w:pPr>
      <w:r>
        <w:rPr>
          <w:rFonts w:hint="eastAsia" w:ascii="宋体" w:hAnsi="宋体" w:cs="仿宋_GB2312"/>
          <w:szCs w:val="21"/>
        </w:rPr>
        <w:t>各单位招聘管理员在系统上初选、筛选进一步考察对象，确定笔试、面试名单（集中公开招聘）或进一步考察对象（教师），人事处招聘管理员发布集中公开招聘的面试公告。</w:t>
      </w:r>
    </w:p>
    <w:p>
      <w:pPr>
        <w:numPr>
          <w:ilvl w:val="0"/>
          <w:numId w:val="10"/>
        </w:numPr>
        <w:spacing w:line="360" w:lineRule="auto"/>
        <w:ind w:firstLine="420" w:firstLineChars="200"/>
        <w:rPr>
          <w:rFonts w:ascii="宋体" w:hAnsi="宋体" w:cs="仿宋_GB2312"/>
          <w:szCs w:val="21"/>
        </w:rPr>
      </w:pPr>
      <w:r>
        <w:rPr>
          <w:rFonts w:hint="eastAsia" w:ascii="宋体" w:hAnsi="宋体" w:cs="仿宋_GB2312"/>
          <w:szCs w:val="21"/>
        </w:rPr>
        <w:t>应聘情况汇总表，字段可自定义。</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引进考察和审批</w:t>
      </w:r>
    </w:p>
    <w:p>
      <w:pPr>
        <w:numPr>
          <w:ilvl w:val="0"/>
          <w:numId w:val="11"/>
        </w:numPr>
        <w:spacing w:line="360" w:lineRule="auto"/>
        <w:ind w:firstLine="420" w:firstLineChars="200"/>
        <w:rPr>
          <w:rFonts w:ascii="宋体" w:hAnsi="宋体" w:cs="仿宋_GB2312"/>
          <w:szCs w:val="21"/>
        </w:rPr>
      </w:pPr>
      <w:r>
        <w:rPr>
          <w:rFonts w:hint="eastAsia" w:ascii="宋体" w:hAnsi="宋体" w:cs="仿宋_GB2312"/>
          <w:szCs w:val="21"/>
        </w:rPr>
        <w:t>按不同类别人员，考察和审批的流程和字段可自定义。</w:t>
      </w:r>
    </w:p>
    <w:p>
      <w:pPr>
        <w:numPr>
          <w:ilvl w:val="0"/>
          <w:numId w:val="11"/>
        </w:numPr>
        <w:spacing w:line="360" w:lineRule="auto"/>
        <w:ind w:firstLine="420" w:firstLineChars="200"/>
        <w:rPr>
          <w:rFonts w:ascii="宋体" w:hAnsi="宋体" w:cs="仿宋_GB2312"/>
          <w:szCs w:val="21"/>
        </w:rPr>
      </w:pPr>
      <w:r>
        <w:rPr>
          <w:rFonts w:hint="eastAsia" w:ascii="宋体" w:hAnsi="宋体" w:cs="仿宋_GB2312"/>
          <w:szCs w:val="21"/>
        </w:rPr>
        <w:t>一个审批流程结束后，可自动转入下一个审批流程且管理员可以短信通知的形式通知下一个流程的办理人员。</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角色权限</w:t>
      </w:r>
    </w:p>
    <w:p>
      <w:pPr>
        <w:spacing w:line="360" w:lineRule="auto"/>
        <w:ind w:firstLine="420" w:firstLineChars="200"/>
        <w:rPr>
          <w:rFonts w:ascii="宋体" w:hAnsi="宋体" w:cs="仿宋_GB2312"/>
          <w:szCs w:val="21"/>
        </w:rPr>
      </w:pPr>
      <w:r>
        <w:rPr>
          <w:rFonts w:hint="eastAsia" w:ascii="宋体" w:hAnsi="宋体" w:cs="仿宋_GB2312"/>
          <w:szCs w:val="21"/>
        </w:rPr>
        <w:t>不同角色的权限不同，可看到的内容不同。</w:t>
      </w:r>
    </w:p>
    <w:p>
      <w:pPr>
        <w:pStyle w:val="159"/>
        <w:spacing w:line="360" w:lineRule="auto"/>
        <w:rPr>
          <w:rFonts w:hAnsi="宋体"/>
          <w:color w:val="auto"/>
          <w:sz w:val="21"/>
          <w:szCs w:val="21"/>
        </w:rPr>
      </w:pPr>
    </w:p>
    <w:p>
      <w:pPr>
        <w:pStyle w:val="3"/>
        <w:widowControl/>
        <w:numPr>
          <w:ilvl w:val="1"/>
          <w:numId w:val="4"/>
        </w:numPr>
        <w:spacing w:before="0" w:after="0" w:line="360" w:lineRule="auto"/>
        <w:jc w:val="left"/>
        <w:rPr>
          <w:rFonts w:ascii="宋体" w:hAnsi="宋体" w:cs="仿宋_GB2312"/>
          <w:sz w:val="21"/>
          <w:szCs w:val="21"/>
        </w:rPr>
      </w:pPr>
      <w:bookmarkStart w:id="13" w:name="_Toc4186"/>
      <w:bookmarkStart w:id="14" w:name="_Toc54164680"/>
      <w:r>
        <w:rPr>
          <w:rFonts w:hint="eastAsia" w:ascii="宋体" w:hAnsi="宋体" w:cs="仿宋_GB2312"/>
          <w:sz w:val="21"/>
          <w:szCs w:val="21"/>
        </w:rPr>
        <w:t>评审系统</w:t>
      </w:r>
      <w:bookmarkEnd w:id="13"/>
      <w:bookmarkEnd w:id="14"/>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个人申请</w:t>
      </w:r>
    </w:p>
    <w:p>
      <w:pPr>
        <w:tabs>
          <w:tab w:val="left" w:pos="8619"/>
        </w:tabs>
        <w:spacing w:line="360" w:lineRule="auto"/>
        <w:ind w:firstLine="420" w:firstLineChars="200"/>
        <w:rPr>
          <w:rFonts w:ascii="宋体" w:hAnsi="宋体"/>
          <w:szCs w:val="21"/>
        </w:rPr>
      </w:pPr>
      <w:r>
        <w:rPr>
          <w:rFonts w:hint="eastAsia" w:ascii="宋体" w:hAnsi="宋体" w:cs="仿宋_GB2312"/>
          <w:szCs w:val="21"/>
        </w:rPr>
        <w:t>教职工个人在系统内可以实现在线进行业务申报。</w:t>
      </w:r>
      <w:r>
        <w:rPr>
          <w:rFonts w:ascii="宋体" w:hAnsi="宋体" w:cs="仿宋_GB2312"/>
          <w:szCs w:val="21"/>
        </w:rPr>
        <w:tab/>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个人填写申报书</w:t>
      </w:r>
    </w:p>
    <w:p>
      <w:pPr>
        <w:spacing w:line="360" w:lineRule="auto"/>
        <w:ind w:firstLine="420" w:firstLineChars="200"/>
        <w:rPr>
          <w:rFonts w:ascii="宋体" w:hAnsi="宋体"/>
          <w:szCs w:val="21"/>
        </w:rPr>
      </w:pPr>
      <w:r>
        <w:rPr>
          <w:rFonts w:hint="eastAsia" w:ascii="宋体" w:hAnsi="宋体" w:cs="仿宋_GB2312"/>
          <w:szCs w:val="21"/>
        </w:rPr>
        <w:t>个人可以在线进行各个评审业务申报表格的填写，表格样式可根据不同的业务流程进行定制。</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个人上传成果附件</w:t>
      </w:r>
    </w:p>
    <w:p>
      <w:pPr>
        <w:spacing w:line="360" w:lineRule="auto"/>
        <w:ind w:firstLine="420" w:firstLineChars="200"/>
        <w:rPr>
          <w:rFonts w:ascii="宋体" w:hAnsi="宋体" w:cs="仿宋_GB2312"/>
          <w:szCs w:val="21"/>
        </w:rPr>
      </w:pPr>
      <w:r>
        <w:rPr>
          <w:rFonts w:hint="eastAsia" w:ascii="宋体" w:hAnsi="宋体" w:cs="仿宋_GB2312"/>
          <w:szCs w:val="21"/>
        </w:rPr>
        <w:t>个人可以根据不同申报要求在线上传成果相关的附件证明。</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部门审核</w:t>
      </w:r>
    </w:p>
    <w:p>
      <w:pPr>
        <w:spacing w:line="360" w:lineRule="auto"/>
        <w:ind w:firstLine="420" w:firstLineChars="200"/>
        <w:rPr>
          <w:rFonts w:ascii="宋体" w:hAnsi="宋体"/>
          <w:szCs w:val="21"/>
        </w:rPr>
      </w:pPr>
      <w:r>
        <w:rPr>
          <w:rFonts w:hint="eastAsia" w:ascii="宋体" w:hAnsi="宋体" w:cs="仿宋_GB2312"/>
          <w:szCs w:val="21"/>
        </w:rPr>
        <w:t>此功能支持在线审核，包括二级单位审核、平行部门审核、人事处审核等。</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专家抽取</w:t>
      </w:r>
    </w:p>
    <w:p>
      <w:pPr>
        <w:spacing w:line="360" w:lineRule="auto"/>
        <w:ind w:firstLine="420" w:firstLineChars="200"/>
        <w:rPr>
          <w:rFonts w:ascii="宋体" w:hAnsi="宋体"/>
          <w:szCs w:val="21"/>
        </w:rPr>
      </w:pPr>
      <w:r>
        <w:rPr>
          <w:rFonts w:hint="eastAsia" w:ascii="宋体" w:hAnsi="宋体" w:cs="仿宋_GB2312"/>
          <w:szCs w:val="21"/>
        </w:rPr>
        <w:t>该应用可以实现按规则从专家库抽取评审专家。专家库人力资源部可以自行维护，专家支持手机验证码登录人事系统</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专家审核</w:t>
      </w:r>
    </w:p>
    <w:p>
      <w:pPr>
        <w:spacing w:line="360" w:lineRule="auto"/>
        <w:ind w:firstLine="420" w:firstLineChars="200"/>
        <w:rPr>
          <w:rFonts w:ascii="宋体" w:hAnsi="宋体"/>
          <w:szCs w:val="21"/>
        </w:rPr>
      </w:pPr>
      <w:r>
        <w:rPr>
          <w:rFonts w:hint="eastAsia" w:ascii="宋体" w:hAnsi="宋体" w:cs="仿宋_GB2312"/>
          <w:szCs w:val="21"/>
        </w:rPr>
        <w:t>专家可以在线审核所有人员申报的内容，填写审核意见。</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专家投票</w:t>
      </w:r>
    </w:p>
    <w:p>
      <w:pPr>
        <w:spacing w:line="360" w:lineRule="auto"/>
        <w:ind w:firstLine="420" w:firstLineChars="200"/>
        <w:rPr>
          <w:rFonts w:ascii="宋体" w:hAnsi="宋体"/>
          <w:szCs w:val="21"/>
        </w:rPr>
      </w:pPr>
      <w:r>
        <w:rPr>
          <w:rFonts w:hint="eastAsia" w:ascii="宋体" w:hAnsi="宋体" w:cs="仿宋_GB2312"/>
          <w:szCs w:val="21"/>
        </w:rPr>
        <w:t>专家投票一般应用于会议评审。包括学院分会、学科组及高评委会评等评审流程。支持专家通过PC或手机端进行投票。</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结果汇总</w:t>
      </w:r>
    </w:p>
    <w:p>
      <w:pPr>
        <w:spacing w:line="360" w:lineRule="auto"/>
        <w:ind w:firstLine="420" w:firstLineChars="200"/>
        <w:rPr>
          <w:rFonts w:ascii="宋体" w:hAnsi="宋体"/>
          <w:color w:val="000000" w:themeColor="text1"/>
          <w:szCs w:val="21"/>
        </w:rPr>
      </w:pPr>
      <w:r>
        <w:rPr>
          <w:rFonts w:hint="eastAsia" w:ascii="宋体" w:hAnsi="宋体" w:cs="仿宋_GB2312"/>
          <w:color w:val="000000" w:themeColor="text1"/>
          <w:szCs w:val="21"/>
        </w:rPr>
        <w:t>系统可以实现实时汇总投票结果，协助决策的功能。</w:t>
      </w:r>
      <w:r>
        <w:rPr>
          <w:rFonts w:hint="eastAsia" w:ascii="宋体" w:hAnsi="宋体" w:cs="仿宋_GB2312"/>
          <w:color w:val="000000" w:themeColor="text1"/>
          <w:szCs w:val="21"/>
          <w:lang w:eastAsia="zh-Hans"/>
        </w:rPr>
        <w:t>系统可以支持在线打印各类申报表、简表及公示表。</w:t>
      </w:r>
    </w:p>
    <w:p>
      <w:pPr>
        <w:pStyle w:val="4"/>
        <w:widowControl/>
        <w:numPr>
          <w:ilvl w:val="2"/>
          <w:numId w:val="4"/>
        </w:numPr>
        <w:spacing w:before="0" w:after="0" w:line="360" w:lineRule="auto"/>
        <w:ind w:left="1003"/>
        <w:jc w:val="left"/>
        <w:rPr>
          <w:rFonts w:ascii="宋体" w:hAnsi="宋体" w:cs="仿宋_GB2312"/>
          <w:sz w:val="21"/>
          <w:szCs w:val="21"/>
        </w:rPr>
      </w:pPr>
      <w:r>
        <w:rPr>
          <w:rFonts w:hint="eastAsia" w:ascii="宋体" w:hAnsi="宋体" w:cs="仿宋_GB2312"/>
          <w:sz w:val="21"/>
          <w:szCs w:val="21"/>
        </w:rPr>
        <w:t>秘书中心</w:t>
      </w:r>
    </w:p>
    <w:p>
      <w:pPr>
        <w:spacing w:line="360" w:lineRule="auto"/>
        <w:ind w:firstLine="420" w:firstLineChars="200"/>
        <w:rPr>
          <w:rFonts w:ascii="宋体" w:hAnsi="宋体"/>
          <w:szCs w:val="21"/>
        </w:rPr>
      </w:pPr>
      <w:r>
        <w:rPr>
          <w:rFonts w:hint="eastAsia" w:ascii="宋体" w:hAnsi="宋体" w:cs="仿宋_GB2312"/>
          <w:szCs w:val="21"/>
        </w:rPr>
        <w:t>职称评审秘书在系统内可以执行发布公告、设置投票规则、设置送审学校及专业等功能。</w:t>
      </w:r>
    </w:p>
    <w:p>
      <w:pPr>
        <w:pStyle w:val="4"/>
        <w:widowControl/>
        <w:numPr>
          <w:ilvl w:val="2"/>
          <w:numId w:val="4"/>
        </w:numPr>
        <w:spacing w:before="0" w:after="0" w:line="360" w:lineRule="auto"/>
        <w:ind w:left="1003"/>
        <w:jc w:val="left"/>
        <w:rPr>
          <w:rFonts w:ascii="宋体" w:hAnsi="宋体" w:cs="仿宋_GB2312"/>
          <w:sz w:val="21"/>
          <w:szCs w:val="21"/>
        </w:rPr>
      </w:pPr>
      <w:r>
        <w:rPr>
          <w:rFonts w:ascii="宋体" w:hAnsi="宋体" w:cs="仿宋_GB2312"/>
          <w:sz w:val="21"/>
          <w:szCs w:val="21"/>
        </w:rPr>
        <w:t>应用场景</w:t>
      </w:r>
    </w:p>
    <w:p>
      <w:pPr>
        <w:spacing w:line="360" w:lineRule="auto"/>
        <w:ind w:firstLine="420" w:firstLineChars="200"/>
        <w:rPr>
          <w:rFonts w:ascii="宋体" w:hAnsi="宋体" w:cs="仿宋_GB2312"/>
          <w:color w:val="000000" w:themeColor="text1"/>
          <w:szCs w:val="21"/>
        </w:rPr>
      </w:pPr>
      <w:r>
        <w:rPr>
          <w:rFonts w:ascii="宋体" w:hAnsi="宋体" w:cs="仿宋_GB2312"/>
          <w:color w:val="000000" w:themeColor="text1"/>
          <w:szCs w:val="21"/>
        </w:rPr>
        <w:t>评审系统流程可根据学校具体流程进行调整，可用于</w:t>
      </w:r>
      <w:r>
        <w:rPr>
          <w:rFonts w:hint="eastAsia" w:ascii="宋体" w:hAnsi="宋体" w:cs="仿宋_GB2312"/>
          <w:color w:val="000000" w:themeColor="text1"/>
          <w:szCs w:val="21"/>
        </w:rPr>
        <w:t>职称评审，岗位</w:t>
      </w:r>
      <w:r>
        <w:rPr>
          <w:rFonts w:hint="eastAsia" w:ascii="宋体" w:hAnsi="宋体" w:cs="仿宋_GB2312"/>
          <w:color w:val="000000" w:themeColor="text1"/>
          <w:szCs w:val="21"/>
          <w:lang w:eastAsia="zh-Hans"/>
        </w:rPr>
        <w:t>聘任</w:t>
      </w:r>
      <w:r>
        <w:rPr>
          <w:rFonts w:hint="eastAsia" w:ascii="宋体" w:hAnsi="宋体" w:cs="仿宋_GB2312"/>
          <w:color w:val="000000" w:themeColor="text1"/>
          <w:szCs w:val="21"/>
        </w:rPr>
        <w:t>，人才项目，优秀人才选拔，评奖评优</w:t>
      </w:r>
      <w:r>
        <w:rPr>
          <w:rFonts w:ascii="宋体" w:hAnsi="宋体" w:cs="仿宋_GB2312"/>
          <w:color w:val="000000" w:themeColor="text1"/>
          <w:szCs w:val="21"/>
        </w:rPr>
        <w:t>等业务的办理。</w:t>
      </w:r>
    </w:p>
    <w:p>
      <w:pPr>
        <w:pStyle w:val="159"/>
        <w:spacing w:line="360" w:lineRule="auto"/>
        <w:rPr>
          <w:rFonts w:hAnsi="宋体"/>
          <w:sz w:val="21"/>
          <w:szCs w:val="21"/>
        </w:rPr>
      </w:pPr>
    </w:p>
    <w:p>
      <w:pPr>
        <w:pStyle w:val="3"/>
        <w:widowControl/>
        <w:numPr>
          <w:ilvl w:val="1"/>
          <w:numId w:val="4"/>
        </w:numPr>
        <w:spacing w:before="0" w:after="0" w:line="360" w:lineRule="auto"/>
        <w:jc w:val="left"/>
        <w:rPr>
          <w:rFonts w:ascii="宋体" w:hAnsi="宋体" w:cs="仿宋_GB2312"/>
          <w:sz w:val="21"/>
          <w:szCs w:val="21"/>
        </w:rPr>
      </w:pPr>
      <w:bookmarkStart w:id="15" w:name="_Toc54164681"/>
      <w:r>
        <w:rPr>
          <w:rFonts w:ascii="宋体" w:hAnsi="宋体" w:cs="仿宋_GB2312"/>
          <w:sz w:val="21"/>
          <w:szCs w:val="21"/>
        </w:rPr>
        <w:t>绩效管理</w:t>
      </w:r>
      <w:r>
        <w:rPr>
          <w:rFonts w:hint="eastAsia" w:ascii="宋体" w:hAnsi="宋体" w:cs="仿宋_GB2312"/>
          <w:sz w:val="21"/>
          <w:szCs w:val="21"/>
        </w:rPr>
        <w:t>系统</w:t>
      </w:r>
      <w:bookmarkEnd w:id="15"/>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贡献分测评</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贡献分方案设置</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该应用可以实现管理员在线设置计算每项贡献分对应的成果的功能。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贡献分案参数设置</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该应用可以实现管理员在线设置每项成果的得分标准的功能。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贡献分计算系统</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该应用可以实现管理员在线一键生成各类贡献分的功能。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贡献分汇总报表</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该应用可以实现管理员在线查看全校教职工教学分、科研分、育人分、服务分四项贡献分及排名的功能，并且可以根据现有得分生成各类定制化报表。</w:t>
      </w:r>
    </w:p>
    <w:p>
      <w:pPr>
        <w:spacing w:line="360" w:lineRule="auto"/>
        <w:ind w:firstLine="420" w:firstLineChars="200"/>
        <w:rPr>
          <w:rFonts w:ascii="宋体" w:hAnsi="宋体" w:cs="仿宋_GB2312"/>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职业生涯规划</w:t>
      </w:r>
      <w:r>
        <w:rPr>
          <w:rFonts w:ascii="宋体" w:hAnsi="宋体" w:cs="仿宋_GB2312"/>
          <w:sz w:val="21"/>
          <w:szCs w:val="21"/>
        </w:rPr>
        <w:t>管理</w:t>
      </w:r>
    </w:p>
    <w:p>
      <w:pPr>
        <w:spacing w:line="360" w:lineRule="auto"/>
        <w:ind w:firstLine="420" w:firstLineChars="200"/>
        <w:rPr>
          <w:rFonts w:ascii="宋体" w:hAnsi="宋体" w:cs="仿宋_GB2312"/>
          <w:szCs w:val="21"/>
        </w:rPr>
      </w:pPr>
      <w:r>
        <w:rPr>
          <w:rFonts w:hint="eastAsia" w:ascii="宋体" w:hAnsi="宋体" w:cs="仿宋_GB2312"/>
          <w:szCs w:val="21"/>
        </w:rPr>
        <w:t>绩效分析功能可对于全校教职工的业绩完成情况进行统一的分析和管理，及时发现教职工工作进度上的问题，并进行管理。</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职业生涯规划</w:t>
      </w:r>
    </w:p>
    <w:p>
      <w:pPr>
        <w:spacing w:line="360" w:lineRule="auto"/>
        <w:ind w:firstLine="420" w:firstLineChars="200"/>
        <w:rPr>
          <w:rFonts w:ascii="宋体" w:hAnsi="宋体" w:cs="仿宋_GB2312"/>
          <w:szCs w:val="21"/>
        </w:rPr>
      </w:pPr>
      <w:r>
        <w:rPr>
          <w:rFonts w:hint="eastAsia" w:ascii="宋体" w:hAnsi="宋体" w:cs="仿宋_GB2312"/>
          <w:szCs w:val="21"/>
        </w:rPr>
        <w:t>管理员可给全校教职工设定不同的业绩、培训等工作量的目标，可设置任务周期时间、任务量等信息。</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工作进度管理</w:t>
      </w:r>
    </w:p>
    <w:p>
      <w:pPr>
        <w:spacing w:line="360" w:lineRule="auto"/>
        <w:ind w:firstLine="420" w:firstLineChars="200"/>
        <w:rPr>
          <w:rFonts w:ascii="宋体" w:hAnsi="宋体" w:cs="仿宋_GB2312"/>
          <w:szCs w:val="21"/>
        </w:rPr>
      </w:pPr>
      <w:r>
        <w:rPr>
          <w:rFonts w:hint="eastAsia" w:ascii="宋体" w:hAnsi="宋体" w:cs="仿宋_GB2312"/>
          <w:szCs w:val="21"/>
        </w:rPr>
        <w:t>管理员可在线查看每位教职工的目标完成情况，查看剩余时间及待完成工作量的明细，并可以给未完成工作的教职工发送提醒。</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完成进度排名</w:t>
      </w:r>
    </w:p>
    <w:p>
      <w:pPr>
        <w:spacing w:line="360" w:lineRule="auto"/>
        <w:ind w:firstLine="420" w:firstLineChars="200"/>
        <w:rPr>
          <w:rFonts w:ascii="宋体" w:hAnsi="宋体" w:cs="仿宋_GB2312"/>
          <w:szCs w:val="21"/>
        </w:rPr>
      </w:pPr>
      <w:r>
        <w:rPr>
          <w:rFonts w:hint="eastAsia" w:ascii="宋体" w:hAnsi="宋体" w:cs="仿宋_GB2312"/>
          <w:szCs w:val="21"/>
        </w:rPr>
        <w:t>系统可自动根据每位教职工的工作量完成情况进行排名，并且可以针对性的看到未完成的明细。与此同时也可以查看各个部门工作量的完成率，实现全校成果的管理，提升目标完成的效率。</w:t>
      </w:r>
    </w:p>
    <w:p>
      <w:pPr>
        <w:pStyle w:val="159"/>
        <w:spacing w:line="360" w:lineRule="auto"/>
        <w:rPr>
          <w:rFonts w:hAnsi="宋体" w:cs="仿宋_GB2312"/>
          <w:color w:val="auto"/>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ascii="宋体" w:hAnsi="宋体" w:cs="仿宋_GB2312"/>
          <w:sz w:val="21"/>
          <w:szCs w:val="21"/>
        </w:rPr>
        <w:t>年度业绩申报</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考核设置</w:t>
      </w:r>
    </w:p>
    <w:p>
      <w:pPr>
        <w:spacing w:line="360" w:lineRule="auto"/>
        <w:ind w:firstLine="420" w:firstLineChars="200"/>
        <w:rPr>
          <w:rFonts w:ascii="宋体" w:hAnsi="宋体"/>
          <w:szCs w:val="21"/>
        </w:rPr>
      </w:pPr>
      <w:r>
        <w:rPr>
          <w:rFonts w:hint="eastAsia" w:ascii="宋体" w:hAnsi="宋体" w:cs="仿宋_GB2312"/>
          <w:szCs w:val="21"/>
        </w:rPr>
        <w:t>该应用可以实现管理员在线设置绩效考核范围、考核时间、考核标准的功能。</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绩效申报</w:t>
      </w:r>
    </w:p>
    <w:p>
      <w:pPr>
        <w:spacing w:line="360" w:lineRule="auto"/>
        <w:ind w:firstLine="420" w:firstLineChars="200"/>
        <w:rPr>
          <w:rFonts w:ascii="宋体" w:hAnsi="宋体"/>
          <w:szCs w:val="21"/>
        </w:rPr>
      </w:pPr>
      <w:r>
        <w:rPr>
          <w:rFonts w:hint="eastAsia" w:ascii="宋体" w:hAnsi="宋体" w:cs="仿宋_GB2312"/>
          <w:szCs w:val="21"/>
        </w:rPr>
        <w:t>该应用可以实现个人在线申报当年考核业绩及总结。</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绩效审核</w:t>
      </w:r>
    </w:p>
    <w:p>
      <w:pPr>
        <w:spacing w:line="360" w:lineRule="auto"/>
        <w:ind w:firstLine="420" w:firstLineChars="200"/>
        <w:rPr>
          <w:rFonts w:ascii="宋体" w:hAnsi="宋体"/>
          <w:szCs w:val="21"/>
        </w:rPr>
      </w:pPr>
      <w:r>
        <w:rPr>
          <w:rFonts w:hint="eastAsia" w:ascii="宋体" w:hAnsi="宋体" w:cs="仿宋_GB2312"/>
          <w:szCs w:val="21"/>
        </w:rPr>
        <w:t>该应用可以实现各部门进行绩效业务审核。</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考核进度管理</w:t>
      </w:r>
    </w:p>
    <w:p>
      <w:pPr>
        <w:spacing w:line="360" w:lineRule="auto"/>
        <w:ind w:firstLine="420" w:firstLineChars="200"/>
        <w:rPr>
          <w:rFonts w:ascii="宋体" w:hAnsi="宋体"/>
          <w:szCs w:val="21"/>
        </w:rPr>
      </w:pPr>
      <w:r>
        <w:rPr>
          <w:rFonts w:hint="eastAsia" w:ascii="宋体" w:hAnsi="宋体" w:cs="仿宋_GB2312"/>
          <w:szCs w:val="21"/>
        </w:rPr>
        <w:t>该应用可以实现管理员查看考核进度，进行提醒。</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考核汇总管理</w:t>
      </w:r>
    </w:p>
    <w:p>
      <w:pPr>
        <w:spacing w:line="360" w:lineRule="auto"/>
        <w:ind w:firstLine="420" w:firstLineChars="200"/>
        <w:rPr>
          <w:rFonts w:ascii="宋体" w:hAnsi="宋体" w:cs="仿宋_GB2312"/>
          <w:szCs w:val="21"/>
        </w:rPr>
      </w:pPr>
      <w:r>
        <w:rPr>
          <w:rFonts w:hint="eastAsia" w:ascii="宋体" w:hAnsi="宋体" w:cs="仿宋_GB2312"/>
          <w:szCs w:val="21"/>
        </w:rPr>
        <w:t>该应用可以实现管理员汇总每年度绩效考核结果。</w:t>
      </w:r>
    </w:p>
    <w:p>
      <w:pPr>
        <w:pStyle w:val="159"/>
        <w:spacing w:line="360" w:lineRule="auto"/>
        <w:rPr>
          <w:rFonts w:hAnsi="宋体"/>
          <w:sz w:val="21"/>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考核</w:t>
      </w:r>
      <w:r>
        <w:rPr>
          <w:rFonts w:ascii="宋体" w:hAnsi="宋体" w:cs="仿宋_GB2312"/>
          <w:sz w:val="21"/>
          <w:szCs w:val="21"/>
        </w:rPr>
        <w:t>管理</w:t>
      </w:r>
      <w:r>
        <w:rPr>
          <w:rFonts w:hint="eastAsia" w:ascii="宋体" w:hAnsi="宋体" w:cs="仿宋_GB2312"/>
          <w:sz w:val="21"/>
          <w:szCs w:val="21"/>
        </w:rPr>
        <w:t>系统</w:t>
      </w:r>
    </w:p>
    <w:p>
      <w:pPr>
        <w:spacing w:line="360" w:lineRule="auto"/>
        <w:ind w:firstLine="420" w:firstLineChars="200"/>
        <w:rPr>
          <w:rFonts w:ascii="宋体" w:hAnsi="宋体" w:cs="仿宋_GB2312"/>
          <w:szCs w:val="21"/>
        </w:rPr>
      </w:pPr>
      <w:r>
        <w:rPr>
          <w:rFonts w:hint="eastAsia" w:ascii="宋体" w:hAnsi="宋体" w:cs="仿宋_GB2312"/>
          <w:szCs w:val="21"/>
        </w:rPr>
        <w:t>考核管理子系统的目标是实现单位综合考核、个人年度考核、聘期考核和绩效考核管理，系统能够提供定性、定量等不同的考核模式，能够针对不同类别的人员实施不同的考核方案，能够建立全流程的考核机制。</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考核设置</w:t>
      </w:r>
    </w:p>
    <w:p>
      <w:pPr>
        <w:spacing w:line="360" w:lineRule="auto"/>
        <w:ind w:firstLine="420" w:firstLineChars="200"/>
        <w:rPr>
          <w:rFonts w:ascii="宋体" w:hAnsi="宋体" w:cs="仿宋_GB2312"/>
          <w:szCs w:val="21"/>
        </w:rPr>
      </w:pPr>
      <w:r>
        <w:rPr>
          <w:rFonts w:hint="eastAsia" w:ascii="宋体" w:hAnsi="宋体" w:cs="仿宋_GB2312"/>
          <w:szCs w:val="21"/>
        </w:rPr>
        <w:t>系统可以根据考核需求设置考核时间、（被）考核人员、（被）考核人员分组，设置考核项和标准、设置考核人员权重、生成考核打分表。</w:t>
      </w:r>
    </w:p>
    <w:p>
      <w:pPr>
        <w:spacing w:line="360" w:lineRule="auto"/>
        <w:ind w:firstLine="420" w:firstLineChars="200"/>
        <w:rPr>
          <w:rFonts w:ascii="宋体" w:hAnsi="宋体" w:cs="仿宋_GB2312"/>
          <w:szCs w:val="21"/>
        </w:rPr>
      </w:pPr>
      <w:r>
        <w:rPr>
          <w:rFonts w:hint="eastAsia" w:ascii="宋体" w:hAnsi="宋体" w:cs="仿宋_GB2312"/>
          <w:szCs w:val="21"/>
        </w:rPr>
        <w:t>系统管理员可以设置系统开放时间。</w:t>
      </w:r>
    </w:p>
    <w:p>
      <w:pPr>
        <w:spacing w:line="360" w:lineRule="auto"/>
        <w:ind w:firstLine="420" w:firstLineChars="200"/>
        <w:rPr>
          <w:rFonts w:ascii="宋体" w:hAnsi="宋体" w:cs="仿宋_GB2312"/>
          <w:szCs w:val="21"/>
        </w:rPr>
      </w:pPr>
      <w:r>
        <w:rPr>
          <w:rFonts w:hint="eastAsia" w:ascii="宋体" w:hAnsi="宋体" w:cs="仿宋_GB2312"/>
          <w:szCs w:val="21"/>
        </w:rPr>
        <w:t>系统需具备三种端口：人事处管理员端口、个人填报端口、二级单位和院系人事秘书端口。</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综合考核</w:t>
      </w:r>
    </w:p>
    <w:p>
      <w:pPr>
        <w:spacing w:line="360" w:lineRule="auto"/>
        <w:ind w:firstLine="420" w:firstLineChars="200"/>
        <w:rPr>
          <w:rFonts w:ascii="宋体" w:hAnsi="宋体" w:cs="仿宋_GB2312"/>
          <w:szCs w:val="21"/>
        </w:rPr>
      </w:pPr>
      <w:r>
        <w:rPr>
          <w:rFonts w:hint="eastAsia" w:ascii="宋体" w:hAnsi="宋体" w:cs="仿宋_GB2312"/>
          <w:szCs w:val="21"/>
        </w:rPr>
        <w:t>各单位管理员上传本单位考核总结信息，各考核组在线打分。并根据设置的权重自动计算出考核分，生成考核汇总表，并按分数高低排名生成汇总表。</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年度考核</w:t>
      </w:r>
    </w:p>
    <w:p>
      <w:pPr>
        <w:spacing w:line="360" w:lineRule="auto"/>
        <w:ind w:firstLine="420" w:firstLineChars="200"/>
        <w:rPr>
          <w:rFonts w:ascii="宋体" w:hAnsi="宋体" w:cs="仿宋_GB2312"/>
          <w:szCs w:val="21"/>
        </w:rPr>
      </w:pPr>
      <w:r>
        <w:rPr>
          <w:rFonts w:hint="eastAsia" w:ascii="宋体" w:hAnsi="宋体" w:cs="仿宋_GB2312"/>
          <w:szCs w:val="21"/>
        </w:rPr>
        <w:t>教职工登录系统填报、提交《年度考核登记表》，各单位考核小组确定年度考核等次、校考评会审定年度考核结果。</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聘期考核</w:t>
      </w:r>
    </w:p>
    <w:p>
      <w:pPr>
        <w:spacing w:line="360" w:lineRule="auto"/>
        <w:ind w:firstLine="420" w:firstLineChars="200"/>
        <w:rPr>
          <w:rFonts w:ascii="宋体" w:hAnsi="宋体" w:cs="仿宋_GB2312"/>
          <w:szCs w:val="21"/>
        </w:rPr>
      </w:pPr>
      <w:r>
        <w:rPr>
          <w:rFonts w:hint="eastAsia" w:ascii="宋体" w:hAnsi="宋体" w:cs="仿宋_GB2312"/>
          <w:szCs w:val="21"/>
        </w:rPr>
        <w:t>系统可与学校数据中心做集成，集成教学、科研等数据用于教职工业绩考核。</w:t>
      </w:r>
    </w:p>
    <w:p>
      <w:pPr>
        <w:spacing w:line="360" w:lineRule="auto"/>
        <w:ind w:firstLine="420" w:firstLineChars="200"/>
        <w:rPr>
          <w:rFonts w:ascii="宋体" w:hAnsi="宋体" w:cs="仿宋_GB2312"/>
          <w:szCs w:val="21"/>
        </w:rPr>
      </w:pPr>
      <w:r>
        <w:rPr>
          <w:rFonts w:hint="eastAsia" w:ascii="宋体" w:hAnsi="宋体" w:cs="仿宋_GB2312"/>
          <w:szCs w:val="21"/>
        </w:rPr>
        <w:t>系统可设置各类别各等级岗位的考核条件，并具有预判断申请人事是否符合考核要求的功能。</w:t>
      </w:r>
    </w:p>
    <w:p>
      <w:pPr>
        <w:spacing w:line="360" w:lineRule="auto"/>
        <w:ind w:firstLine="420" w:firstLineChars="200"/>
        <w:rPr>
          <w:rFonts w:ascii="宋体" w:hAnsi="宋体" w:cs="仿宋_GB2312"/>
          <w:szCs w:val="21"/>
        </w:rPr>
      </w:pPr>
      <w:r>
        <w:rPr>
          <w:rFonts w:hint="eastAsia" w:ascii="宋体" w:hAnsi="宋体" w:cs="仿宋_GB2312"/>
          <w:szCs w:val="21"/>
        </w:rPr>
        <w:t>个人的基本信息，可以通过自助系统的数据直接生成。</w:t>
      </w:r>
    </w:p>
    <w:p>
      <w:pPr>
        <w:spacing w:line="360" w:lineRule="auto"/>
        <w:ind w:firstLine="420" w:firstLineChars="200"/>
        <w:rPr>
          <w:rFonts w:ascii="宋体" w:hAnsi="宋体" w:cs="仿宋_GB2312"/>
          <w:szCs w:val="21"/>
        </w:rPr>
      </w:pPr>
      <w:r>
        <w:rPr>
          <w:rFonts w:hint="eastAsia" w:ascii="宋体" w:hAnsi="宋体" w:cs="仿宋_GB2312"/>
          <w:szCs w:val="21"/>
        </w:rPr>
        <w:t>个人的业绩信息，可以直接在申报表格中填写或由业绩信息直接导出，生成《聘期考核申请表》。业绩表内容如果是已经审核的信息，则直接通过审查，如果未经过审核则转到相应的职能部门审核，职能部门信息不及时的需由二级单位凭材料原件审核，并做标记（或由职能部门提供全校的信息进行核对）。</w:t>
      </w:r>
    </w:p>
    <w:p>
      <w:pPr>
        <w:spacing w:line="360" w:lineRule="auto"/>
        <w:ind w:firstLine="420" w:firstLineChars="200"/>
        <w:rPr>
          <w:rFonts w:ascii="宋体" w:hAnsi="宋体" w:cs="仿宋_GB2312"/>
          <w:szCs w:val="21"/>
        </w:rPr>
      </w:pPr>
      <w:r>
        <w:rPr>
          <w:rFonts w:hint="eastAsia" w:ascii="宋体" w:hAnsi="宋体" w:cs="仿宋_GB2312"/>
          <w:szCs w:val="21"/>
        </w:rPr>
        <w:t>各单位按照权限审定、上报本单位聘期考核结果。</w:t>
      </w:r>
    </w:p>
    <w:p>
      <w:pPr>
        <w:spacing w:line="360" w:lineRule="auto"/>
        <w:ind w:firstLine="420" w:firstLineChars="200"/>
        <w:rPr>
          <w:rFonts w:ascii="宋体" w:hAnsi="宋体" w:cs="仿宋_GB2312"/>
          <w:szCs w:val="21"/>
        </w:rPr>
      </w:pPr>
      <w:r>
        <w:rPr>
          <w:rFonts w:hint="eastAsia" w:ascii="宋体" w:hAnsi="宋体" w:cs="仿宋_GB2312"/>
          <w:szCs w:val="21"/>
        </w:rPr>
        <w:t>学校各类别岗位专家组，可在现场通过投票系统分别评审学校层面聘期考核结果，复审各单位层面聘期考核结果。</w:t>
      </w:r>
    </w:p>
    <w:p>
      <w:pPr>
        <w:spacing w:line="360" w:lineRule="auto"/>
        <w:rPr>
          <w:rFonts w:ascii="宋体" w:hAnsi="宋体" w:cs="仿宋_GB2312"/>
          <w:szCs w:val="21"/>
        </w:rPr>
      </w:pPr>
    </w:p>
    <w:p>
      <w:pPr>
        <w:pStyle w:val="4"/>
        <w:widowControl/>
        <w:numPr>
          <w:ilvl w:val="2"/>
          <w:numId w:val="4"/>
        </w:numPr>
        <w:tabs>
          <w:tab w:val="left" w:pos="996"/>
        </w:tabs>
        <w:spacing w:before="0" w:after="0" w:line="360" w:lineRule="auto"/>
        <w:ind w:left="996"/>
        <w:jc w:val="left"/>
        <w:rPr>
          <w:rFonts w:ascii="宋体" w:hAnsi="宋体" w:cs="仿宋_GB2312"/>
          <w:sz w:val="21"/>
          <w:szCs w:val="21"/>
        </w:rPr>
      </w:pPr>
      <w:r>
        <w:rPr>
          <w:rFonts w:hint="eastAsia" w:ascii="宋体" w:hAnsi="宋体" w:cs="仿宋_GB2312"/>
          <w:sz w:val="21"/>
          <w:szCs w:val="21"/>
        </w:rPr>
        <w:t>教师发展</w:t>
      </w:r>
      <w:r>
        <w:rPr>
          <w:rFonts w:ascii="宋体" w:hAnsi="宋体" w:cs="仿宋_GB2312"/>
          <w:sz w:val="21"/>
          <w:szCs w:val="21"/>
        </w:rPr>
        <w:t>系统</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实践</w:t>
      </w:r>
      <w:r>
        <w:rPr>
          <w:rFonts w:ascii="宋体" w:hAnsi="宋体" w:cs="仿宋_GB2312"/>
          <w:sz w:val="21"/>
          <w:szCs w:val="21"/>
        </w:rPr>
        <w:t>锻炼</w:t>
      </w:r>
      <w:r>
        <w:rPr>
          <w:rFonts w:hint="eastAsia" w:ascii="宋体" w:hAnsi="宋体" w:cs="仿宋_GB2312"/>
          <w:sz w:val="21"/>
          <w:szCs w:val="21"/>
        </w:rPr>
        <w:tab/>
      </w:r>
    </w:p>
    <w:p>
      <w:pPr>
        <w:spacing w:line="360" w:lineRule="auto"/>
        <w:ind w:firstLine="420" w:firstLineChars="200"/>
        <w:rPr>
          <w:rFonts w:ascii="宋体" w:hAnsi="宋体" w:cs="仿宋_GB2312"/>
          <w:szCs w:val="21"/>
        </w:rPr>
      </w:pPr>
      <w:r>
        <w:rPr>
          <w:rFonts w:hint="eastAsia" w:ascii="宋体" w:hAnsi="宋体" w:cs="仿宋_GB2312"/>
          <w:szCs w:val="21"/>
        </w:rPr>
        <w:t>在线申报：教职工在线申报企业实践计划，并支持二维码上传附件功能。</w:t>
      </w:r>
    </w:p>
    <w:p>
      <w:pPr>
        <w:spacing w:line="360" w:lineRule="auto"/>
        <w:ind w:firstLine="420" w:firstLineChars="200"/>
        <w:rPr>
          <w:rFonts w:ascii="宋体" w:hAnsi="宋体" w:cs="仿宋_GB2312"/>
          <w:szCs w:val="21"/>
        </w:rPr>
      </w:pPr>
      <w:r>
        <w:rPr>
          <w:rFonts w:hint="eastAsia" w:ascii="宋体" w:hAnsi="宋体" w:cs="仿宋_GB2312"/>
          <w:szCs w:val="21"/>
        </w:rPr>
        <w:t>在线审批：各级管理员可以在线对于教职工提出的申请进行审核。</w:t>
      </w:r>
    </w:p>
    <w:p>
      <w:pPr>
        <w:spacing w:line="360" w:lineRule="auto"/>
        <w:ind w:firstLine="420" w:firstLineChars="200"/>
        <w:rPr>
          <w:rFonts w:ascii="宋体" w:hAnsi="宋体" w:cs="仿宋_GB2312"/>
          <w:szCs w:val="21"/>
        </w:rPr>
      </w:pPr>
      <w:r>
        <w:rPr>
          <w:rFonts w:hint="eastAsia" w:ascii="宋体" w:hAnsi="宋体" w:cs="仿宋_GB2312"/>
          <w:szCs w:val="21"/>
        </w:rPr>
        <w:t>日报管理：教职工可以每日通过微信提交工作日报、工作总结。</w:t>
      </w:r>
    </w:p>
    <w:p>
      <w:pPr>
        <w:spacing w:line="360" w:lineRule="auto"/>
        <w:ind w:firstLine="420" w:firstLineChars="200"/>
        <w:rPr>
          <w:rFonts w:ascii="宋体" w:hAnsi="宋体" w:cs="仿宋_GB2312"/>
          <w:szCs w:val="21"/>
        </w:rPr>
      </w:pPr>
      <w:r>
        <w:rPr>
          <w:rFonts w:hint="eastAsia" w:ascii="宋体" w:hAnsi="宋体" w:cs="仿宋_GB2312"/>
          <w:szCs w:val="21"/>
        </w:rPr>
        <w:t>实时监控：管理员可以实时在线监控教师实践动态，查看教职工打卡情况、日志提交情况等。</w:t>
      </w:r>
    </w:p>
    <w:p>
      <w:pPr>
        <w:spacing w:line="360" w:lineRule="auto"/>
        <w:ind w:firstLine="420" w:firstLineChars="200"/>
        <w:rPr>
          <w:rFonts w:ascii="宋体" w:hAnsi="宋体" w:cs="仿宋_GB2312"/>
          <w:szCs w:val="21"/>
        </w:rPr>
      </w:pPr>
      <w:r>
        <w:rPr>
          <w:rFonts w:hint="eastAsia" w:ascii="宋体" w:hAnsi="宋体" w:cs="仿宋_GB2312"/>
          <w:szCs w:val="21"/>
        </w:rPr>
        <w:t>在线预警：系统可自动对违反制度的教职工进行预警，可以通过发送推送提醒教职工提交日报，并提醒管理员进行监督。</w:t>
      </w:r>
    </w:p>
    <w:p>
      <w:pPr>
        <w:pStyle w:val="5"/>
        <w:widowControl/>
        <w:numPr>
          <w:ilvl w:val="3"/>
          <w:numId w:val="4"/>
        </w:numPr>
        <w:tabs>
          <w:tab w:val="left" w:pos="996"/>
          <w:tab w:val="left" w:pos="1145"/>
          <w:tab w:val="clear" w:pos="1284"/>
        </w:tabs>
        <w:spacing w:before="0" w:after="0" w:line="360" w:lineRule="auto"/>
        <w:ind w:left="1416"/>
        <w:jc w:val="left"/>
        <w:rPr>
          <w:rFonts w:ascii="宋体" w:hAnsi="宋体" w:cs="仿宋_GB2312"/>
          <w:sz w:val="21"/>
          <w:szCs w:val="21"/>
        </w:rPr>
      </w:pPr>
      <w:r>
        <w:rPr>
          <w:rFonts w:hint="eastAsia" w:ascii="宋体" w:hAnsi="宋体" w:cs="仿宋_GB2312"/>
          <w:sz w:val="21"/>
          <w:szCs w:val="21"/>
        </w:rPr>
        <w:t>培训活动</w:t>
      </w:r>
      <w:r>
        <w:rPr>
          <w:rFonts w:hint="eastAsia" w:ascii="宋体" w:hAnsi="宋体" w:cs="仿宋_GB2312"/>
          <w:sz w:val="21"/>
          <w:szCs w:val="21"/>
        </w:rPr>
        <w:tab/>
      </w:r>
    </w:p>
    <w:p>
      <w:pPr>
        <w:spacing w:line="360" w:lineRule="auto"/>
        <w:ind w:firstLine="420" w:firstLineChars="200"/>
        <w:rPr>
          <w:rFonts w:ascii="宋体" w:hAnsi="宋体" w:cs="仿宋_GB2312"/>
          <w:szCs w:val="21"/>
        </w:rPr>
      </w:pPr>
      <w:r>
        <w:rPr>
          <w:rFonts w:hint="eastAsia" w:ascii="宋体" w:hAnsi="宋体" w:cs="仿宋_GB2312"/>
          <w:szCs w:val="21"/>
        </w:rPr>
        <w:t>申请管理：系统支持各类人员在线提交各类培训活动申请，如沙龙、午餐会、专题培训等，管理员在线审核的功能。</w:t>
      </w:r>
    </w:p>
    <w:p>
      <w:pPr>
        <w:spacing w:line="360" w:lineRule="auto"/>
        <w:ind w:firstLine="420" w:firstLineChars="200"/>
        <w:rPr>
          <w:rFonts w:ascii="宋体" w:hAnsi="宋体" w:cs="仿宋_GB2312"/>
          <w:szCs w:val="21"/>
        </w:rPr>
      </w:pPr>
      <w:r>
        <w:rPr>
          <w:rFonts w:hint="eastAsia" w:ascii="宋体" w:hAnsi="宋体" w:cs="仿宋_GB2312"/>
          <w:szCs w:val="21"/>
        </w:rPr>
        <w:t>通知发布：管理员可在线发布各类培训活动的安排，包括活动时间、人员名额等。</w:t>
      </w:r>
    </w:p>
    <w:p>
      <w:pPr>
        <w:spacing w:line="360" w:lineRule="auto"/>
        <w:ind w:firstLine="420" w:firstLineChars="200"/>
        <w:rPr>
          <w:rFonts w:ascii="宋体" w:hAnsi="宋体" w:cs="仿宋_GB2312"/>
          <w:szCs w:val="21"/>
        </w:rPr>
      </w:pPr>
      <w:r>
        <w:rPr>
          <w:rFonts w:hint="eastAsia" w:ascii="宋体" w:hAnsi="宋体" w:cs="仿宋_GB2312"/>
          <w:szCs w:val="21"/>
        </w:rPr>
        <w:t>在线报名：系统可实现教职工在线报名的功能。</w:t>
      </w:r>
    </w:p>
    <w:p>
      <w:pPr>
        <w:spacing w:line="360" w:lineRule="auto"/>
        <w:ind w:firstLine="420" w:firstLineChars="200"/>
        <w:rPr>
          <w:rFonts w:ascii="宋体" w:hAnsi="宋体" w:cs="仿宋_GB2312"/>
          <w:szCs w:val="21"/>
        </w:rPr>
      </w:pPr>
      <w:r>
        <w:rPr>
          <w:rFonts w:hint="eastAsia" w:ascii="宋体" w:hAnsi="宋体" w:cs="仿宋_GB2312"/>
          <w:szCs w:val="21"/>
        </w:rPr>
        <w:t>心得汇报：教职工在培训活动结束后可对培训心得进行在线反馈。</w:t>
      </w:r>
    </w:p>
    <w:p>
      <w:pPr>
        <w:spacing w:line="360" w:lineRule="auto"/>
        <w:ind w:firstLine="420" w:firstLineChars="200"/>
        <w:rPr>
          <w:rFonts w:ascii="宋体" w:hAnsi="宋体" w:cs="仿宋_GB2312"/>
          <w:szCs w:val="21"/>
        </w:rPr>
      </w:pPr>
      <w:r>
        <w:rPr>
          <w:rFonts w:hint="eastAsia" w:ascii="宋体" w:hAnsi="宋体" w:cs="仿宋_GB2312"/>
          <w:szCs w:val="21"/>
        </w:rPr>
        <w:t>数据统计：系统可支持管理员在线查看分析报表，对比分析各种培训活动的培训效果。</w:t>
      </w:r>
    </w:p>
    <w:p>
      <w:pPr>
        <w:spacing w:line="360" w:lineRule="auto"/>
        <w:rPr>
          <w:rFonts w:ascii="宋体" w:hAnsi="宋体"/>
          <w:b/>
          <w:bCs/>
          <w:szCs w:val="21"/>
        </w:rPr>
      </w:pPr>
    </w:p>
    <w:p>
      <w:pPr>
        <w:pStyle w:val="2"/>
        <w:pageBreakBefore/>
        <w:widowControl/>
        <w:numPr>
          <w:ilvl w:val="0"/>
          <w:numId w:val="4"/>
        </w:numPr>
        <w:spacing w:line="360" w:lineRule="auto"/>
        <w:jc w:val="left"/>
        <w:rPr>
          <w:rFonts w:ascii="宋体" w:hAnsi="宋体" w:cs="仿宋_GB2312"/>
          <w:sz w:val="21"/>
          <w:szCs w:val="21"/>
        </w:rPr>
      </w:pPr>
      <w:bookmarkStart w:id="16" w:name="_Toc54164682"/>
      <w:r>
        <w:rPr>
          <w:rFonts w:ascii="宋体" w:hAnsi="宋体" w:cs="仿宋_GB2312"/>
          <w:sz w:val="21"/>
          <w:szCs w:val="21"/>
        </w:rPr>
        <w:t>项目实施要求</w:t>
      </w:r>
      <w:bookmarkEnd w:id="16"/>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（一）人员组织</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为保证顺利有序实施，投标</w:t>
      </w:r>
      <w:r>
        <w:rPr>
          <w:rFonts w:ascii="宋体" w:hAnsi="宋体" w:cs="仿宋_GB2312"/>
          <w:spacing w:val="10"/>
          <w:szCs w:val="21"/>
        </w:rPr>
        <w:t>人</w:t>
      </w:r>
      <w:r>
        <w:rPr>
          <w:rFonts w:hint="eastAsia" w:ascii="宋体" w:hAnsi="宋体" w:cs="仿宋_GB2312"/>
          <w:spacing w:val="10"/>
          <w:szCs w:val="21"/>
        </w:rPr>
        <w:t>必须对实施工作作出详尽缜密的组织实施方案。投标方案中应进行简要的描述，主要内容应包括以下几个层面：</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在项目的管理过程中，组织结构是项目成功的基础，而其他管理内容只有在合理的组织结构下才能真正实现，因此有效的组织结构，是保障项目成功的有力保证。</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招投标双方需共同组建人力资源管理信息系统项目建设小组，总体人员配备方案科学、合理。</w:t>
      </w:r>
      <w:r>
        <w:rPr>
          <w:rFonts w:ascii="宋体" w:hAnsi="宋体" w:cs="仿宋_GB2312"/>
          <w:spacing w:val="10"/>
          <w:szCs w:val="21"/>
        </w:rPr>
        <w:t>采购方</w:t>
      </w:r>
      <w:r>
        <w:rPr>
          <w:rFonts w:hint="eastAsia" w:ascii="宋体" w:hAnsi="宋体" w:cs="仿宋_GB2312"/>
          <w:spacing w:val="10"/>
          <w:szCs w:val="21"/>
        </w:rPr>
        <w:t>在学校信息化领导小组领导下，落实各</w:t>
      </w:r>
      <w:r>
        <w:rPr>
          <w:rFonts w:ascii="宋体" w:hAnsi="宋体" w:cs="仿宋_GB2312"/>
          <w:spacing w:val="10"/>
          <w:szCs w:val="21"/>
        </w:rPr>
        <w:t>部门</w:t>
      </w:r>
      <w:r>
        <w:rPr>
          <w:rFonts w:hint="eastAsia" w:ascii="宋体" w:hAnsi="宋体" w:cs="仿宋_GB2312"/>
          <w:spacing w:val="10"/>
          <w:szCs w:val="21"/>
        </w:rPr>
        <w:t>和</w:t>
      </w:r>
      <w:r>
        <w:rPr>
          <w:rFonts w:ascii="宋体" w:hAnsi="宋体" w:cs="仿宋_GB2312"/>
          <w:spacing w:val="10"/>
          <w:szCs w:val="21"/>
        </w:rPr>
        <w:t>各</w:t>
      </w:r>
      <w:r>
        <w:rPr>
          <w:rFonts w:hint="eastAsia" w:ascii="宋体" w:hAnsi="宋体" w:cs="仿宋_GB2312"/>
          <w:spacing w:val="10"/>
          <w:szCs w:val="21"/>
        </w:rPr>
        <w:t>部门专职信息员；投标</w:t>
      </w:r>
      <w:r>
        <w:rPr>
          <w:rFonts w:ascii="宋体" w:hAnsi="宋体" w:cs="仿宋_GB2312"/>
          <w:spacing w:val="10"/>
          <w:szCs w:val="21"/>
        </w:rPr>
        <w:t>人</w:t>
      </w:r>
      <w:r>
        <w:rPr>
          <w:rFonts w:hint="eastAsia" w:ascii="宋体" w:hAnsi="宋体" w:cs="仿宋_GB2312"/>
          <w:spacing w:val="10"/>
          <w:szCs w:val="21"/>
        </w:rPr>
        <w:t>需明确本项目实施队伍的人员架构与技术实力，项目经理、主要技术负责人需具备类似项目的实施经验，开发人员、实施人员的数量、项目实施经历等也需要明确提供。双方必须保证人员的数量、质量和人员的稳定性、连续性，并进一步明确和细化人员的技能要求、工作任务、承担责任等。</w:t>
      </w:r>
      <w:bookmarkStart w:id="17" w:name="_Toc6775577"/>
      <w:bookmarkStart w:id="18" w:name="_Toc276583082"/>
      <w:bookmarkStart w:id="19" w:name="_Toc5646294"/>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对采购人进行平台管理及日常维护培训。项目实施结束前不得离场。</w:t>
      </w:r>
      <w:r>
        <w:rPr>
          <w:rFonts w:ascii="宋体" w:hAnsi="宋体" w:cs="仿宋_GB2312"/>
          <w:spacing w:val="10"/>
          <w:szCs w:val="21"/>
        </w:rPr>
        <w:t>采购人</w:t>
      </w:r>
      <w:r>
        <w:rPr>
          <w:rFonts w:hint="eastAsia" w:ascii="宋体" w:hAnsi="宋体" w:cs="仿宋_GB2312"/>
          <w:spacing w:val="10"/>
          <w:szCs w:val="21"/>
        </w:rPr>
        <w:t>有权对工程师进行考核，如不合格有权更换。</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（二）实施进度</w:t>
      </w:r>
      <w:bookmarkEnd w:id="17"/>
      <w:bookmarkEnd w:id="18"/>
      <w:bookmarkEnd w:id="19"/>
    </w:p>
    <w:p>
      <w:pPr>
        <w:numPr>
          <w:ilvl w:val="0"/>
          <w:numId w:val="5"/>
        </w:numPr>
        <w:snapToGrid w:val="0"/>
        <w:spacing w:line="360" w:lineRule="auto"/>
        <w:ind w:left="0" w:firstLine="431"/>
        <w:rPr>
          <w:rFonts w:ascii="宋体" w:hAnsi="宋体" w:cs="仿宋_GB2312"/>
          <w:color w:val="000000" w:themeColor="text1"/>
          <w:spacing w:val="10"/>
          <w:szCs w:val="21"/>
        </w:rPr>
      </w:pPr>
      <w:r>
        <w:rPr>
          <w:rFonts w:hint="eastAsia" w:ascii="宋体" w:hAnsi="宋体" w:cs="仿宋_GB2312"/>
          <w:color w:val="000000" w:themeColor="text1"/>
          <w:spacing w:val="10"/>
          <w:szCs w:val="21"/>
        </w:rPr>
        <w:t>投标</w:t>
      </w:r>
      <w:r>
        <w:rPr>
          <w:rFonts w:ascii="宋体" w:hAnsi="宋体" w:cs="仿宋_GB2312"/>
          <w:color w:val="000000" w:themeColor="text1"/>
          <w:spacing w:val="10"/>
          <w:szCs w:val="21"/>
        </w:rPr>
        <w:t>人</w:t>
      </w:r>
      <w:r>
        <w:rPr>
          <w:rFonts w:hint="eastAsia" w:ascii="宋体" w:hAnsi="宋体" w:cs="仿宋_GB2312"/>
          <w:color w:val="000000" w:themeColor="text1"/>
          <w:spacing w:val="10"/>
          <w:szCs w:val="21"/>
        </w:rPr>
        <w:t>需要</w:t>
      </w:r>
      <w:r>
        <w:rPr>
          <w:rFonts w:ascii="宋体" w:hAnsi="宋体" w:cs="仿宋_GB2312"/>
          <w:color w:val="000000" w:themeColor="text1"/>
          <w:spacing w:val="10"/>
          <w:szCs w:val="21"/>
        </w:rPr>
        <w:t>根据验收模块顺序，</w:t>
      </w:r>
      <w:r>
        <w:rPr>
          <w:rFonts w:hint="eastAsia" w:ascii="宋体" w:hAnsi="宋体" w:cs="仿宋_GB2312"/>
          <w:color w:val="000000" w:themeColor="text1"/>
          <w:spacing w:val="10"/>
          <w:szCs w:val="21"/>
        </w:rPr>
        <w:t>在投标文件中给出预期实施进度计划。平台建设</w:t>
      </w:r>
      <w:r>
        <w:rPr>
          <w:rFonts w:ascii="宋体" w:hAnsi="宋体" w:cs="仿宋_GB2312"/>
          <w:color w:val="000000" w:themeColor="text1"/>
          <w:spacing w:val="10"/>
          <w:szCs w:val="21"/>
        </w:rPr>
        <w:t>共计</w:t>
      </w:r>
      <w:r>
        <w:rPr>
          <w:rFonts w:hint="eastAsia" w:ascii="宋体" w:hAnsi="宋体" w:cs="仿宋_GB2312"/>
          <w:color w:val="000000" w:themeColor="text1"/>
          <w:spacing w:val="10"/>
          <w:szCs w:val="21"/>
        </w:rPr>
        <w:t>建设</w:t>
      </w:r>
      <w:r>
        <w:rPr>
          <w:rFonts w:ascii="宋体" w:hAnsi="宋体" w:cs="仿宋_GB2312"/>
          <w:color w:val="000000" w:themeColor="text1"/>
          <w:spacing w:val="10"/>
          <w:szCs w:val="21"/>
        </w:rPr>
        <w:t>时间为190天</w:t>
      </w:r>
      <w:r>
        <w:rPr>
          <w:rFonts w:hint="eastAsia" w:ascii="宋体" w:hAnsi="宋体" w:cs="仿宋_GB2312"/>
          <w:color w:val="000000" w:themeColor="text1"/>
          <w:spacing w:val="10"/>
          <w:szCs w:val="21"/>
        </w:rPr>
        <w:t>（日历日）</w:t>
      </w:r>
      <w:r>
        <w:rPr>
          <w:rFonts w:ascii="宋体" w:hAnsi="宋体" w:cs="仿宋_GB2312"/>
          <w:color w:val="000000" w:themeColor="text1"/>
          <w:spacing w:val="10"/>
          <w:szCs w:val="21"/>
        </w:rPr>
        <w:t>。详细实施进度计划，</w:t>
      </w:r>
      <w:r>
        <w:rPr>
          <w:rFonts w:hint="eastAsia" w:ascii="宋体" w:hAnsi="宋体" w:cs="仿宋_GB2312"/>
          <w:color w:val="000000" w:themeColor="text1"/>
          <w:spacing w:val="10"/>
          <w:szCs w:val="21"/>
        </w:rPr>
        <w:t>中标后与</w:t>
      </w:r>
      <w:r>
        <w:rPr>
          <w:rFonts w:ascii="宋体" w:hAnsi="宋体" w:cs="仿宋_GB2312"/>
          <w:color w:val="000000" w:themeColor="text1"/>
          <w:spacing w:val="10"/>
          <w:szCs w:val="21"/>
        </w:rPr>
        <w:t>采购人共同</w:t>
      </w:r>
      <w:r>
        <w:rPr>
          <w:rFonts w:hint="eastAsia" w:ascii="宋体" w:hAnsi="宋体" w:cs="仿宋_GB2312"/>
          <w:color w:val="000000" w:themeColor="text1"/>
          <w:spacing w:val="10"/>
          <w:szCs w:val="21"/>
        </w:rPr>
        <w:t>商议决定。</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（三）实施过程</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投标</w:t>
      </w:r>
      <w:r>
        <w:rPr>
          <w:rFonts w:ascii="宋体" w:hAnsi="宋体" w:cs="仿宋_GB2312"/>
          <w:spacing w:val="10"/>
          <w:szCs w:val="21"/>
        </w:rPr>
        <w:t>人</w:t>
      </w:r>
      <w:r>
        <w:rPr>
          <w:rFonts w:hint="eastAsia" w:ascii="宋体" w:hAnsi="宋体" w:cs="仿宋_GB2312"/>
          <w:spacing w:val="10"/>
          <w:szCs w:val="21"/>
        </w:rPr>
        <w:t>必须提出对项目的建设进行科学严格的管理方案与措施，使的项目系统计划、有序组织、科学指导和有效控制，促进项目全面顺利实施。在实施计划的基础上，方案中应进一步明确和细化每个阶段的工作范围、内容、过程、责任、交付成果等。</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1.项目管理控制</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该项目的管理控制包含多个方面：项目范围、风险、进度、质量、变更管理控制，贯穿项目开发建设的始终，必须做到对项目建设范围准确定义，一旦范围发生变更，要有相应的变更控制和应对措施。</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2.项目管理规范和手段</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根据该项目的实施方案，在实施过程中，为了保证用户方、开发方、专家监理等各方能够对项目建设实施进行监控，及时发现和解决的问题，必须建立相应的项目管理规范，包括项目执行监控流程、执行监控的方法、执行监控的责任等，使管理和监控工作流程化、规范化，管理和监控工作责任明确。</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3.项目配置管理</w:t>
      </w:r>
    </w:p>
    <w:p>
      <w:pPr>
        <w:numPr>
          <w:ilvl w:val="0"/>
          <w:numId w:val="5"/>
        </w:numPr>
        <w:snapToGrid w:val="0"/>
        <w:spacing w:line="360" w:lineRule="auto"/>
        <w:ind w:left="0" w:firstLine="431"/>
        <w:rPr>
          <w:rFonts w:ascii="宋体" w:hAnsi="宋体" w:cs="仿宋_GB2312"/>
          <w:spacing w:val="10"/>
          <w:szCs w:val="21"/>
        </w:rPr>
      </w:pPr>
      <w:r>
        <w:rPr>
          <w:rFonts w:hint="eastAsia" w:ascii="宋体" w:hAnsi="宋体" w:cs="仿宋_GB2312"/>
          <w:spacing w:val="10"/>
          <w:szCs w:val="21"/>
        </w:rPr>
        <w:t>在项目的开发过程中以及交付使用后，会产生大量文档和程序，如：需求分析说明、设计说明、可执行码、用户手册、测试用例、测试结果等技术性文档以及合同、计划、会议记录、报告等管理文档，而且文档的版本在不断变迁和修改中，势必产生一个庞大、动态的信息集合。因此，必须建设相应的配置管理系统，通过一系列技术、方法和手段来维护产品的历史、鉴别和定位产品独有的版本、在产品开发和发布阶段控制变化，制定规范的配置管理工作计划和流程，沟通交流配置管理工作情况，从而使管理制度化、有效减少重复性工作、保证产品的质量和效率和系统的后续升级和维护。</w:t>
      </w:r>
    </w:p>
    <w:p>
      <w:pPr>
        <w:pStyle w:val="2"/>
        <w:pageBreakBefore/>
        <w:widowControl/>
        <w:numPr>
          <w:ilvl w:val="0"/>
          <w:numId w:val="4"/>
        </w:numPr>
        <w:spacing w:line="360" w:lineRule="auto"/>
        <w:jc w:val="left"/>
        <w:rPr>
          <w:rFonts w:ascii="宋体" w:hAnsi="宋体" w:cs="仿宋_GB2312"/>
          <w:sz w:val="21"/>
          <w:szCs w:val="21"/>
        </w:rPr>
      </w:pPr>
      <w:bookmarkStart w:id="20" w:name="_Toc54164683"/>
      <w:r>
        <w:rPr>
          <w:rFonts w:hint="eastAsia" w:ascii="宋体" w:hAnsi="宋体" w:cs="仿宋_GB2312"/>
          <w:sz w:val="21"/>
          <w:szCs w:val="21"/>
        </w:rPr>
        <w:t>项目培训要求</w:t>
      </w:r>
      <w:bookmarkEnd w:id="20"/>
    </w:p>
    <w:p>
      <w:pPr>
        <w:numPr>
          <w:ilvl w:val="0"/>
          <w:numId w:val="5"/>
        </w:numPr>
        <w:snapToGrid w:val="0"/>
        <w:spacing w:line="360" w:lineRule="auto"/>
        <w:ind w:left="0" w:firstLine="431"/>
        <w:rPr>
          <w:rFonts w:ascii="宋体" w:hAnsi="宋体" w:cs="仿宋_GB2312"/>
          <w:szCs w:val="21"/>
        </w:rPr>
      </w:pPr>
      <w:r>
        <w:rPr>
          <w:rFonts w:ascii="宋体" w:hAnsi="宋体" w:cs="仿宋_GB2312"/>
          <w:szCs w:val="21"/>
        </w:rPr>
        <w:t>投标人</w:t>
      </w:r>
      <w:r>
        <w:rPr>
          <w:rFonts w:hint="eastAsia" w:ascii="宋体" w:hAnsi="宋体" w:cs="仿宋_GB2312"/>
          <w:szCs w:val="21"/>
        </w:rPr>
        <w:t>派出的培训教员应具有丰富的同类课程的教学经验和应用经验；所有的培训教员必须用中文授课；投标</w:t>
      </w:r>
      <w:r>
        <w:rPr>
          <w:rFonts w:ascii="宋体" w:hAnsi="宋体" w:cs="仿宋_GB2312"/>
          <w:szCs w:val="21"/>
        </w:rPr>
        <w:t>人</w:t>
      </w:r>
      <w:r>
        <w:rPr>
          <w:rFonts w:hint="eastAsia" w:ascii="宋体" w:hAnsi="宋体" w:cs="仿宋_GB2312"/>
          <w:szCs w:val="21"/>
        </w:rPr>
        <w:t>必须为所有被培训人员提供培训用文字资料和讲义等相关材料，如果培训地点在外地，投标</w:t>
      </w:r>
      <w:r>
        <w:rPr>
          <w:rFonts w:ascii="宋体" w:hAnsi="宋体" w:cs="仿宋_GB2312"/>
          <w:szCs w:val="21"/>
        </w:rPr>
        <w:t>人</w:t>
      </w:r>
      <w:r>
        <w:rPr>
          <w:rFonts w:hint="eastAsia" w:ascii="宋体" w:hAnsi="宋体" w:cs="仿宋_GB2312"/>
          <w:szCs w:val="21"/>
        </w:rPr>
        <w:t>还应为所有被培训人员提供食宿；投标</w:t>
      </w:r>
      <w:r>
        <w:rPr>
          <w:rFonts w:ascii="宋体" w:hAnsi="宋体" w:cs="仿宋_GB2312"/>
          <w:szCs w:val="21"/>
        </w:rPr>
        <w:t>人</w:t>
      </w:r>
      <w:r>
        <w:rPr>
          <w:rFonts w:hint="eastAsia" w:ascii="宋体" w:hAnsi="宋体" w:cs="仿宋_GB2312"/>
          <w:szCs w:val="21"/>
        </w:rPr>
        <w:t>应按合同规定安排培训时间和培训名额。</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培训方式需包括：包括课堂讲解、上机操作和实际工作的参与。</w:t>
      </w:r>
    </w:p>
    <w:p>
      <w:pPr>
        <w:numPr>
          <w:ilvl w:val="0"/>
          <w:numId w:val="5"/>
        </w:numPr>
        <w:snapToGrid w:val="0"/>
        <w:spacing w:line="360" w:lineRule="auto"/>
        <w:ind w:left="0" w:firstLine="431"/>
        <w:rPr>
          <w:rFonts w:ascii="宋体" w:hAnsi="宋体" w:cs="仿宋_GB2312"/>
          <w:szCs w:val="21"/>
        </w:rPr>
      </w:pPr>
      <w:r>
        <w:rPr>
          <w:rFonts w:ascii="宋体" w:hAnsi="宋体" w:cs="仿宋_GB2312"/>
          <w:szCs w:val="21"/>
        </w:rPr>
        <w:t>投标人</w:t>
      </w:r>
      <w:r>
        <w:rPr>
          <w:rFonts w:hint="eastAsia" w:ascii="宋体" w:hAnsi="宋体" w:cs="仿宋_GB2312"/>
          <w:szCs w:val="21"/>
        </w:rPr>
        <w:t>进行的培训工作需涵盖培训方案的设计、培训制度的制定、培训开发、培训实施和培训效果评估，及时监控培训效果，保证培训课程符合南京审计大学实际的需要。在系统运行（含试运行）的各个阶段相应的培训内容描述，培训阶段安排包括：项目管理人员培训、系统分析人员培训、系统开发人员培训、系统管理人员培训、系统维护人员培训和系统使用人员培训。</w:t>
      </w:r>
    </w:p>
    <w:p>
      <w:pPr>
        <w:pStyle w:val="193"/>
        <w:ind w:firstLine="420"/>
        <w:rPr>
          <w:rFonts w:ascii="宋体" w:hAnsi="宋体" w:cs="仿宋_GB2312"/>
          <w:sz w:val="21"/>
          <w:szCs w:val="21"/>
        </w:rPr>
      </w:pPr>
      <w:r>
        <w:rPr>
          <w:rFonts w:ascii="宋体" w:hAnsi="宋体" w:cs="仿宋_GB2312"/>
          <w:sz w:val="21"/>
          <w:szCs w:val="21"/>
        </w:rPr>
        <w:t>培训类别：</w:t>
      </w:r>
      <w:r>
        <w:rPr>
          <w:rFonts w:hint="eastAsia" w:ascii="宋体" w:hAnsi="宋体" w:cs="仿宋_GB2312"/>
          <w:sz w:val="21"/>
          <w:szCs w:val="21"/>
        </w:rPr>
        <w:t>培训阶段贯穿于项目建设的全过程，根据项目的进度针对不同的用户、不同的领域进行系统的知识培训。安排培训内容初步设计如下：</w:t>
      </w:r>
    </w:p>
    <w:p>
      <w:pPr>
        <w:pStyle w:val="193"/>
        <w:ind w:firstLine="420"/>
        <w:rPr>
          <w:rFonts w:ascii="宋体" w:hAnsi="宋体" w:cs="仿宋_GB2312"/>
          <w:sz w:val="21"/>
          <w:szCs w:val="21"/>
        </w:rPr>
      </w:pPr>
      <w:r>
        <w:rPr>
          <w:rFonts w:hint="eastAsia" w:ascii="宋体" w:hAnsi="宋体" w:cs="仿宋_GB2312"/>
          <w:sz w:val="21"/>
          <w:szCs w:val="21"/>
        </w:rPr>
        <w:t>1、项目管理培训</w:t>
      </w:r>
    </w:p>
    <w:p>
      <w:pPr>
        <w:pStyle w:val="193"/>
        <w:ind w:firstLine="420"/>
        <w:rPr>
          <w:rFonts w:ascii="宋体" w:hAnsi="宋体" w:cs="仿宋_GB2312"/>
          <w:sz w:val="21"/>
          <w:szCs w:val="21"/>
        </w:rPr>
      </w:pPr>
      <w:r>
        <w:rPr>
          <w:rFonts w:hint="eastAsia" w:ascii="宋体" w:hAnsi="宋体" w:cs="仿宋_GB2312"/>
          <w:sz w:val="21"/>
          <w:szCs w:val="21"/>
        </w:rPr>
        <w:t>项目管理培训即是系统开发的各个阶段的培训，这些阶段包括：项目准备、需求分析、系统概要设计、系统详细设计、程序编制和运行建立。项目管理培训涉及的相关人员、主要项目管理人员、骨干业务人员、主要技术人员等。</w:t>
      </w:r>
    </w:p>
    <w:p>
      <w:pPr>
        <w:pStyle w:val="193"/>
        <w:ind w:firstLine="420"/>
        <w:rPr>
          <w:rFonts w:ascii="宋体" w:hAnsi="宋体" w:cs="仿宋_GB2312"/>
          <w:sz w:val="21"/>
          <w:szCs w:val="21"/>
        </w:rPr>
      </w:pPr>
      <w:r>
        <w:rPr>
          <w:rFonts w:hint="eastAsia" w:ascii="宋体" w:hAnsi="宋体" w:cs="仿宋_GB2312"/>
          <w:sz w:val="21"/>
          <w:szCs w:val="21"/>
        </w:rPr>
        <w:t>2、系统管理培训</w:t>
      </w:r>
    </w:p>
    <w:p>
      <w:pPr>
        <w:pStyle w:val="193"/>
        <w:ind w:firstLine="420"/>
        <w:rPr>
          <w:rFonts w:ascii="宋体" w:hAnsi="宋体" w:cs="仿宋_GB2312"/>
          <w:sz w:val="21"/>
          <w:szCs w:val="21"/>
        </w:rPr>
      </w:pPr>
      <w:r>
        <w:rPr>
          <w:rFonts w:hint="eastAsia" w:ascii="宋体" w:hAnsi="宋体" w:cs="仿宋_GB2312"/>
          <w:sz w:val="21"/>
          <w:szCs w:val="21"/>
        </w:rPr>
        <w:t>为了使我校的相关人员掌握有关应用系统的使用、维护和管理方法，达到能独立进行管理、故障处理、日常测试和维护等工作的目的，应进行系统的技术培训，以保证所建设的系统能够正常、安全、平稳地运行。</w:t>
      </w:r>
    </w:p>
    <w:p>
      <w:pPr>
        <w:pStyle w:val="193"/>
        <w:ind w:firstLine="420"/>
        <w:rPr>
          <w:rFonts w:ascii="宋体" w:hAnsi="宋体" w:cs="仿宋_GB2312"/>
          <w:sz w:val="21"/>
          <w:szCs w:val="21"/>
        </w:rPr>
      </w:pPr>
      <w:r>
        <w:rPr>
          <w:rFonts w:hint="eastAsia" w:ascii="宋体" w:hAnsi="宋体" w:cs="仿宋_GB2312"/>
          <w:sz w:val="21"/>
          <w:szCs w:val="21"/>
        </w:rPr>
        <w:t>3、系统使用人员培训</w:t>
      </w:r>
    </w:p>
    <w:p>
      <w:pPr>
        <w:pStyle w:val="193"/>
        <w:ind w:firstLine="420"/>
        <w:rPr>
          <w:rFonts w:ascii="宋体" w:hAnsi="宋体" w:cs="仿宋_GB2312"/>
          <w:sz w:val="21"/>
          <w:szCs w:val="21"/>
        </w:rPr>
      </w:pPr>
      <w:r>
        <w:rPr>
          <w:rFonts w:hint="eastAsia" w:ascii="宋体" w:hAnsi="宋体" w:cs="仿宋_GB2312"/>
          <w:sz w:val="21"/>
          <w:szCs w:val="21"/>
        </w:rPr>
        <w:t>系统使用人员主要是针对平台各个应用的最终用户，进行用户操作的培训。</w:t>
      </w:r>
    </w:p>
    <w:p>
      <w:pPr>
        <w:pStyle w:val="193"/>
        <w:ind w:firstLine="420"/>
        <w:rPr>
          <w:rFonts w:ascii="宋体" w:hAnsi="宋体" w:cs="仿宋_GB2312"/>
          <w:sz w:val="21"/>
          <w:szCs w:val="21"/>
        </w:rPr>
      </w:pPr>
      <w:r>
        <w:rPr>
          <w:rFonts w:hint="eastAsia" w:ascii="宋体" w:hAnsi="宋体" w:cs="仿宋_GB2312"/>
          <w:sz w:val="21"/>
          <w:szCs w:val="21"/>
        </w:rPr>
        <w:t>培训采用单人单机操作考核，使用操作及管理操作正常，考核通过。</w:t>
      </w:r>
    </w:p>
    <w:p>
      <w:pPr>
        <w:pStyle w:val="2"/>
        <w:pageBreakBefore/>
        <w:widowControl/>
        <w:numPr>
          <w:ilvl w:val="0"/>
          <w:numId w:val="4"/>
        </w:numPr>
        <w:spacing w:line="360" w:lineRule="auto"/>
        <w:jc w:val="left"/>
        <w:rPr>
          <w:rFonts w:ascii="宋体" w:hAnsi="宋体" w:cs="仿宋_GB2312"/>
          <w:sz w:val="21"/>
          <w:szCs w:val="21"/>
        </w:rPr>
      </w:pPr>
      <w:bookmarkStart w:id="21" w:name="_Toc54164684"/>
      <w:r>
        <w:rPr>
          <w:rFonts w:hint="eastAsia" w:ascii="宋体" w:hAnsi="宋体" w:cs="仿宋_GB2312"/>
          <w:sz w:val="21"/>
          <w:szCs w:val="21"/>
        </w:rPr>
        <w:t>项目验收</w:t>
      </w:r>
      <w:bookmarkEnd w:id="21"/>
    </w:p>
    <w:p>
      <w:pPr>
        <w:pStyle w:val="193"/>
        <w:ind w:firstLine="420"/>
        <w:rPr>
          <w:rFonts w:ascii="宋体" w:hAnsi="宋体" w:cs="仿宋_GB2312"/>
          <w:sz w:val="21"/>
          <w:szCs w:val="21"/>
        </w:rPr>
      </w:pPr>
      <w:r>
        <w:rPr>
          <w:rFonts w:hint="eastAsia" w:ascii="宋体" w:hAnsi="宋体" w:cs="仿宋_GB2312"/>
          <w:sz w:val="21"/>
          <w:szCs w:val="21"/>
        </w:rPr>
        <w:t>当系统通过试运行测试后，系统投入试运行，</w:t>
      </w:r>
      <w:r>
        <w:rPr>
          <w:rFonts w:ascii="宋体" w:hAnsi="宋体" w:cs="仿宋_GB2312"/>
          <w:sz w:val="21"/>
          <w:szCs w:val="21"/>
        </w:rPr>
        <w:t>且</w:t>
      </w:r>
      <w:r>
        <w:rPr>
          <w:rFonts w:hint="eastAsia" w:ascii="宋体" w:hAnsi="宋体" w:cs="仿宋_GB2312"/>
          <w:sz w:val="21"/>
          <w:szCs w:val="21"/>
        </w:rPr>
        <w:t>系统运行状况良好时，由系统</w:t>
      </w:r>
      <w:r>
        <w:rPr>
          <w:rFonts w:ascii="宋体" w:hAnsi="宋体" w:cs="仿宋_GB2312"/>
          <w:sz w:val="21"/>
          <w:szCs w:val="21"/>
        </w:rPr>
        <w:t>投标人</w:t>
      </w:r>
      <w:r>
        <w:rPr>
          <w:rFonts w:hint="eastAsia" w:ascii="宋体" w:hAnsi="宋体" w:cs="仿宋_GB2312"/>
          <w:sz w:val="21"/>
          <w:szCs w:val="21"/>
        </w:rPr>
        <w:t>向</w:t>
      </w:r>
      <w:r>
        <w:rPr>
          <w:rFonts w:ascii="宋体" w:hAnsi="宋体" w:cs="仿宋_GB2312"/>
          <w:sz w:val="21"/>
          <w:szCs w:val="21"/>
        </w:rPr>
        <w:t>采购人</w:t>
      </w:r>
      <w:r>
        <w:rPr>
          <w:rFonts w:hint="eastAsia" w:ascii="宋体" w:hAnsi="宋体" w:cs="仿宋_GB2312"/>
          <w:sz w:val="21"/>
          <w:szCs w:val="21"/>
        </w:rPr>
        <w:t>提交项目验收申请，</w:t>
      </w:r>
      <w:r>
        <w:rPr>
          <w:rFonts w:ascii="宋体" w:hAnsi="宋体" w:cs="仿宋_GB2312"/>
          <w:sz w:val="21"/>
          <w:szCs w:val="21"/>
        </w:rPr>
        <w:t>采购人</w:t>
      </w:r>
      <w:r>
        <w:rPr>
          <w:rFonts w:hint="eastAsia" w:ascii="宋体" w:hAnsi="宋体" w:cs="仿宋_GB2312"/>
          <w:sz w:val="21"/>
          <w:szCs w:val="21"/>
        </w:rPr>
        <w:t>在接到验收申请的</w:t>
      </w:r>
      <w:r>
        <w:rPr>
          <w:rFonts w:ascii="宋体" w:hAnsi="宋体" w:cs="仿宋_GB2312"/>
          <w:sz w:val="21"/>
          <w:szCs w:val="21"/>
        </w:rPr>
        <w:t>五个工作</w:t>
      </w:r>
      <w:r>
        <w:rPr>
          <w:rFonts w:hint="eastAsia" w:ascii="宋体" w:hAnsi="宋体" w:cs="仿宋_GB2312"/>
          <w:sz w:val="21"/>
          <w:szCs w:val="21"/>
        </w:rPr>
        <w:t>日期内，组织项目验收小组进行该</w:t>
      </w:r>
      <w:r>
        <w:rPr>
          <w:rFonts w:ascii="宋体" w:hAnsi="宋体" w:cs="仿宋_GB2312"/>
          <w:sz w:val="21"/>
          <w:szCs w:val="21"/>
        </w:rPr>
        <w:t>系统</w:t>
      </w:r>
      <w:r>
        <w:rPr>
          <w:rFonts w:hint="eastAsia" w:ascii="宋体" w:hAnsi="宋体" w:cs="仿宋_GB2312"/>
          <w:sz w:val="21"/>
          <w:szCs w:val="21"/>
        </w:rPr>
        <w:t>项目的验收，</w:t>
      </w:r>
      <w:r>
        <w:rPr>
          <w:rFonts w:ascii="宋体" w:hAnsi="宋体" w:cs="仿宋_GB2312"/>
          <w:sz w:val="21"/>
          <w:szCs w:val="21"/>
        </w:rPr>
        <w:t>审核</w:t>
      </w:r>
      <w:r>
        <w:rPr>
          <w:rFonts w:hint="eastAsia" w:ascii="宋体" w:hAnsi="宋体" w:cs="仿宋_GB2312"/>
          <w:sz w:val="21"/>
          <w:szCs w:val="21"/>
        </w:rPr>
        <w:t>系统</w:t>
      </w:r>
      <w:r>
        <w:rPr>
          <w:rFonts w:ascii="宋体" w:hAnsi="宋体" w:cs="仿宋_GB2312"/>
          <w:sz w:val="21"/>
          <w:szCs w:val="21"/>
        </w:rPr>
        <w:t>投标人的验收材料并由投标人</w:t>
      </w:r>
      <w:r>
        <w:rPr>
          <w:rFonts w:hint="eastAsia" w:ascii="宋体" w:hAnsi="宋体" w:cs="仿宋_GB2312"/>
          <w:sz w:val="21"/>
          <w:szCs w:val="21"/>
        </w:rPr>
        <w:t>进行现场</w:t>
      </w:r>
      <w:r>
        <w:rPr>
          <w:rFonts w:ascii="宋体" w:hAnsi="宋体" w:cs="仿宋_GB2312"/>
          <w:sz w:val="21"/>
          <w:szCs w:val="21"/>
        </w:rPr>
        <w:t>系统演示</w:t>
      </w:r>
      <w:r>
        <w:rPr>
          <w:rFonts w:hint="eastAsia" w:ascii="宋体" w:hAnsi="宋体" w:cs="仿宋_GB2312"/>
          <w:sz w:val="21"/>
          <w:szCs w:val="21"/>
        </w:rPr>
        <w:t>，最后给出项目</w:t>
      </w:r>
      <w:r>
        <w:rPr>
          <w:rFonts w:ascii="宋体" w:hAnsi="宋体" w:cs="仿宋_GB2312"/>
          <w:sz w:val="21"/>
          <w:szCs w:val="21"/>
        </w:rPr>
        <w:t>验收</w:t>
      </w:r>
      <w:r>
        <w:rPr>
          <w:rFonts w:hint="eastAsia" w:ascii="宋体" w:hAnsi="宋体" w:cs="仿宋_GB2312"/>
          <w:sz w:val="21"/>
          <w:szCs w:val="21"/>
        </w:rPr>
        <w:t>小组评审意见，得出项目验收结论。</w:t>
      </w:r>
    </w:p>
    <w:p>
      <w:pPr>
        <w:pStyle w:val="3"/>
        <w:numPr>
          <w:ilvl w:val="0"/>
          <w:numId w:val="0"/>
        </w:numPr>
        <w:spacing w:line="360" w:lineRule="auto"/>
        <w:rPr>
          <w:rFonts w:ascii="宋体" w:hAnsi="宋体" w:cs="仿宋_GB2312"/>
          <w:sz w:val="21"/>
          <w:szCs w:val="21"/>
        </w:rPr>
      </w:pPr>
      <w:bookmarkStart w:id="22" w:name="_Toc54164685"/>
      <w:r>
        <w:rPr>
          <w:rFonts w:ascii="宋体" w:hAnsi="宋体" w:cs="仿宋_GB2312"/>
          <w:sz w:val="21"/>
          <w:szCs w:val="21"/>
        </w:rPr>
        <w:t>7.1验收</w:t>
      </w:r>
      <w:r>
        <w:rPr>
          <w:rFonts w:hint="eastAsia" w:ascii="宋体" w:hAnsi="宋体" w:cs="仿宋_GB2312"/>
          <w:sz w:val="21"/>
          <w:szCs w:val="21"/>
        </w:rPr>
        <w:t>交付内容</w:t>
      </w:r>
      <w:bookmarkEnd w:id="22"/>
    </w:p>
    <w:p>
      <w:pPr>
        <w:pStyle w:val="193"/>
        <w:ind w:firstLine="420"/>
        <w:rPr>
          <w:rFonts w:ascii="宋体" w:hAnsi="宋体" w:cs="仿宋_GB2312"/>
          <w:sz w:val="21"/>
          <w:szCs w:val="21"/>
        </w:rPr>
      </w:pPr>
      <w:r>
        <w:rPr>
          <w:rFonts w:hint="eastAsia" w:ascii="宋体" w:hAnsi="宋体" w:cs="仿宋_GB2312"/>
          <w:sz w:val="21"/>
          <w:szCs w:val="21"/>
        </w:rPr>
        <w:t>本项目的交付成果为：</w:t>
      </w:r>
    </w:p>
    <w:p>
      <w:pPr>
        <w:pStyle w:val="193"/>
        <w:ind w:firstLine="420"/>
        <w:rPr>
          <w:rFonts w:ascii="宋体" w:hAnsi="宋体" w:cs="仿宋_GB2312"/>
          <w:sz w:val="21"/>
          <w:szCs w:val="21"/>
        </w:rPr>
      </w:pPr>
      <w:r>
        <w:rPr>
          <w:rFonts w:hint="eastAsia" w:ascii="宋体" w:hAnsi="宋体" w:cs="仿宋_GB2312"/>
          <w:sz w:val="21"/>
          <w:szCs w:val="21"/>
        </w:rPr>
        <w:t>1、开发软件</w:t>
      </w:r>
    </w:p>
    <w:p>
      <w:pPr>
        <w:pStyle w:val="193"/>
        <w:ind w:firstLine="420"/>
        <w:rPr>
          <w:rFonts w:ascii="宋体" w:hAnsi="宋体" w:cs="仿宋_GB2312"/>
          <w:sz w:val="21"/>
          <w:szCs w:val="21"/>
        </w:rPr>
      </w:pPr>
      <w:r>
        <w:rPr>
          <w:rFonts w:hint="eastAsia" w:ascii="宋体" w:hAnsi="宋体" w:cs="仿宋_GB2312"/>
          <w:sz w:val="21"/>
          <w:szCs w:val="21"/>
        </w:rPr>
        <w:t>包括软件产品和定制开发部分的源代码</w:t>
      </w:r>
    </w:p>
    <w:p>
      <w:pPr>
        <w:pStyle w:val="193"/>
        <w:ind w:firstLine="420"/>
        <w:rPr>
          <w:rFonts w:ascii="宋体" w:hAnsi="宋体" w:cs="仿宋_GB2312"/>
          <w:sz w:val="21"/>
          <w:szCs w:val="21"/>
        </w:rPr>
      </w:pPr>
      <w:r>
        <w:rPr>
          <w:rFonts w:hint="eastAsia" w:ascii="宋体" w:hAnsi="宋体" w:cs="仿宋_GB2312"/>
          <w:sz w:val="21"/>
          <w:szCs w:val="21"/>
        </w:rPr>
        <w:t>2、项目实施的相关文档文件</w:t>
      </w:r>
    </w:p>
    <w:p>
      <w:pPr>
        <w:pStyle w:val="193"/>
        <w:ind w:firstLine="420"/>
        <w:rPr>
          <w:rFonts w:ascii="宋体" w:hAnsi="宋体" w:cs="仿宋_GB2312"/>
          <w:sz w:val="21"/>
          <w:szCs w:val="21"/>
        </w:rPr>
      </w:pPr>
      <w:r>
        <w:rPr>
          <w:rFonts w:hint="eastAsia" w:ascii="宋体" w:hAnsi="宋体" w:cs="仿宋_GB2312"/>
          <w:sz w:val="21"/>
          <w:szCs w:val="21"/>
        </w:rPr>
        <w:t>在本期项目的开发过程中和交付使用后，各个阶段都要有各种成果和文档资料。这些成果和文档资料对所开发系统的维护和持续发展起着非常重大的作用。</w:t>
      </w:r>
    </w:p>
    <w:p>
      <w:pPr>
        <w:pStyle w:val="193"/>
        <w:ind w:firstLine="420"/>
        <w:rPr>
          <w:rFonts w:ascii="宋体" w:hAnsi="宋体" w:cs="仿宋_GB2312"/>
          <w:sz w:val="21"/>
          <w:szCs w:val="21"/>
        </w:rPr>
      </w:pPr>
      <w:r>
        <w:rPr>
          <w:rFonts w:ascii="宋体" w:hAnsi="宋体" w:cs="仿宋_GB2312"/>
          <w:sz w:val="21"/>
          <w:szCs w:val="21"/>
        </w:rPr>
        <w:t>投标人</w:t>
      </w:r>
      <w:r>
        <w:rPr>
          <w:rFonts w:hint="eastAsia" w:ascii="宋体" w:hAnsi="宋体" w:cs="仿宋_GB2312"/>
          <w:sz w:val="21"/>
          <w:szCs w:val="21"/>
        </w:rPr>
        <w:t>将在交付前提供明确的交付清单，主要内容如下：</w:t>
      </w:r>
    </w:p>
    <w:tbl>
      <w:tblPr>
        <w:tblStyle w:val="43"/>
        <w:tblW w:w="8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70"/>
        <w:gridCol w:w="4441"/>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514" w:hRule="atLeast"/>
          <w:jc w:val="center"/>
        </w:trPr>
        <w:tc>
          <w:tcPr>
            <w:tcW w:w="1470" w:type="dxa"/>
            <w:shd w:val="clear" w:color="auto" w:fill="C6D9F0" w:themeFill="text2" w:themeFillTint="33"/>
            <w:vAlign w:val="center"/>
          </w:tcPr>
          <w:p>
            <w:pPr>
              <w:spacing w:line="360" w:lineRule="auto"/>
              <w:jc w:val="center"/>
              <w:rPr>
                <w:rFonts w:ascii="宋体" w:hAnsi="宋体" w:cs="仿宋_GB2312"/>
                <w:b/>
                <w:szCs w:val="21"/>
              </w:rPr>
            </w:pPr>
            <w:r>
              <w:rPr>
                <w:rFonts w:hint="eastAsia" w:ascii="宋体" w:hAnsi="宋体" w:cs="仿宋_GB2312"/>
                <w:b/>
                <w:szCs w:val="21"/>
              </w:rPr>
              <w:t>序号</w:t>
            </w:r>
          </w:p>
        </w:tc>
        <w:tc>
          <w:tcPr>
            <w:tcW w:w="4441" w:type="dxa"/>
            <w:shd w:val="clear" w:color="auto" w:fill="C6D9F0" w:themeFill="text2" w:themeFillTint="33"/>
            <w:vAlign w:val="center"/>
          </w:tcPr>
          <w:p>
            <w:pPr>
              <w:spacing w:line="360" w:lineRule="auto"/>
              <w:jc w:val="center"/>
              <w:rPr>
                <w:rFonts w:ascii="宋体" w:hAnsi="宋体" w:cs="仿宋_GB2312"/>
                <w:b/>
                <w:szCs w:val="21"/>
              </w:rPr>
            </w:pPr>
            <w:r>
              <w:rPr>
                <w:rFonts w:hint="eastAsia" w:ascii="宋体" w:hAnsi="宋体" w:cs="仿宋_GB2312"/>
                <w:b/>
                <w:szCs w:val="21"/>
              </w:rPr>
              <w:t>文件名称</w:t>
            </w:r>
          </w:p>
        </w:tc>
        <w:tc>
          <w:tcPr>
            <w:tcW w:w="2328" w:type="dxa"/>
            <w:shd w:val="clear" w:color="auto" w:fill="C6D9F0" w:themeFill="text2" w:themeFillTint="33"/>
            <w:vAlign w:val="center"/>
          </w:tcPr>
          <w:p>
            <w:pPr>
              <w:spacing w:line="360" w:lineRule="auto"/>
              <w:jc w:val="center"/>
              <w:rPr>
                <w:rFonts w:ascii="宋体" w:hAnsi="宋体" w:cs="仿宋_GB2312"/>
                <w:b/>
                <w:szCs w:val="21"/>
              </w:rPr>
            </w:pPr>
            <w:r>
              <w:rPr>
                <w:rFonts w:hint="eastAsia" w:ascii="宋体" w:hAnsi="宋体" w:cs="仿宋_GB2312"/>
                <w:b/>
                <w:szCs w:val="21"/>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90" w:hRule="atLeast"/>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1</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系统实施</w:t>
            </w:r>
            <w:r>
              <w:rPr>
                <w:rFonts w:hint="eastAsia" w:ascii="宋体" w:hAnsi="宋体" w:cs="仿宋_GB2312"/>
                <w:szCs w:val="21"/>
              </w:rPr>
              <w:t>启动确认单</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90" w:hRule="atLeast"/>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2</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功能需求分析说明书</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ascii="宋体" w:hAnsi="宋体" w:cs="仿宋_GB2312"/>
                <w:szCs w:val="21"/>
              </w:rPr>
              <w:t>3</w:t>
            </w:r>
          </w:p>
        </w:tc>
        <w:tc>
          <w:tcPr>
            <w:tcW w:w="4441" w:type="dxa"/>
            <w:vAlign w:val="center"/>
          </w:tcPr>
          <w:p>
            <w:pPr>
              <w:spacing w:line="360" w:lineRule="auto"/>
              <w:jc w:val="center"/>
              <w:rPr>
                <w:rFonts w:ascii="宋体" w:hAnsi="宋体" w:cs="仿宋_GB2312"/>
                <w:szCs w:val="21"/>
              </w:rPr>
            </w:pPr>
            <w:r>
              <w:rPr>
                <w:rFonts w:hint="eastAsia" w:ascii="宋体" w:hAnsi="宋体" w:cs="仿宋_GB2312"/>
                <w:szCs w:val="21"/>
              </w:rPr>
              <w:t>系统出厂交付单</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4</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分权限系统操作说明书、操作视频</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5</w:t>
            </w:r>
          </w:p>
        </w:tc>
        <w:tc>
          <w:tcPr>
            <w:tcW w:w="4441" w:type="dxa"/>
            <w:vAlign w:val="center"/>
          </w:tcPr>
          <w:p>
            <w:pPr>
              <w:spacing w:line="360" w:lineRule="auto"/>
              <w:jc w:val="center"/>
              <w:rPr>
                <w:rFonts w:ascii="宋体" w:hAnsi="宋体" w:cs="仿宋_GB2312"/>
                <w:szCs w:val="21"/>
              </w:rPr>
            </w:pPr>
            <w:r>
              <w:rPr>
                <w:rFonts w:hint="eastAsia" w:ascii="宋体" w:hAnsi="宋体" w:cs="仿宋_GB2312"/>
                <w:szCs w:val="21"/>
              </w:rPr>
              <w:t>用户培训计划</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6</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用户培训反馈表</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7</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系统</w:t>
            </w:r>
            <w:r>
              <w:rPr>
                <w:rFonts w:hint="eastAsia" w:ascii="宋体" w:hAnsi="宋体" w:cs="仿宋_GB2312"/>
                <w:szCs w:val="21"/>
              </w:rPr>
              <w:t>交付</w:t>
            </w:r>
            <w:r>
              <w:rPr>
                <w:rFonts w:ascii="宋体" w:hAnsi="宋体" w:cs="仿宋_GB2312"/>
                <w:szCs w:val="21"/>
              </w:rPr>
              <w:t>确认</w:t>
            </w:r>
            <w:r>
              <w:rPr>
                <w:rFonts w:hint="eastAsia" w:ascii="宋体" w:hAnsi="宋体" w:cs="仿宋_GB2312"/>
                <w:szCs w:val="21"/>
              </w:rPr>
              <w:t>清单</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8</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试运行</w:t>
            </w:r>
            <w:r>
              <w:rPr>
                <w:rFonts w:hint="eastAsia" w:ascii="宋体" w:hAnsi="宋体" w:cs="仿宋_GB2312"/>
                <w:szCs w:val="21"/>
              </w:rPr>
              <w:t>问题处理</w:t>
            </w:r>
            <w:r>
              <w:rPr>
                <w:rFonts w:ascii="宋体" w:hAnsi="宋体" w:cs="仿宋_GB2312"/>
                <w:szCs w:val="21"/>
              </w:rPr>
              <w:t>反馈单</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9</w:t>
            </w:r>
          </w:p>
        </w:tc>
        <w:tc>
          <w:tcPr>
            <w:tcW w:w="4441" w:type="dxa"/>
            <w:vAlign w:val="center"/>
          </w:tcPr>
          <w:p>
            <w:pPr>
              <w:spacing w:line="360" w:lineRule="auto"/>
              <w:jc w:val="center"/>
              <w:rPr>
                <w:rFonts w:ascii="宋体" w:hAnsi="宋体" w:cs="仿宋_GB2312"/>
                <w:szCs w:val="21"/>
              </w:rPr>
            </w:pPr>
            <w:r>
              <w:rPr>
                <w:rFonts w:ascii="宋体" w:hAnsi="宋体" w:cs="仿宋_GB2312"/>
                <w:szCs w:val="21"/>
              </w:rPr>
              <w:t>试运行</w:t>
            </w:r>
            <w:r>
              <w:rPr>
                <w:rFonts w:hint="eastAsia" w:ascii="宋体" w:hAnsi="宋体" w:cs="仿宋_GB2312"/>
                <w:szCs w:val="21"/>
              </w:rPr>
              <w:t>用户使用报告</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ascii="宋体" w:hAnsi="宋体" w:cs="仿宋_GB2312"/>
                <w:szCs w:val="21"/>
              </w:rPr>
              <w:t>10</w:t>
            </w:r>
          </w:p>
        </w:tc>
        <w:tc>
          <w:tcPr>
            <w:tcW w:w="4441" w:type="dxa"/>
            <w:vAlign w:val="center"/>
          </w:tcPr>
          <w:p>
            <w:pPr>
              <w:spacing w:line="360" w:lineRule="auto"/>
              <w:jc w:val="center"/>
              <w:rPr>
                <w:rFonts w:ascii="宋体" w:hAnsi="宋体" w:cs="仿宋_GB2312"/>
                <w:szCs w:val="21"/>
              </w:rPr>
            </w:pPr>
            <w:r>
              <w:rPr>
                <w:rFonts w:hint="eastAsia" w:ascii="宋体" w:hAnsi="宋体" w:cs="仿宋_GB2312"/>
                <w:szCs w:val="21"/>
              </w:rPr>
              <w:t>项目</w:t>
            </w:r>
            <w:r>
              <w:rPr>
                <w:rFonts w:ascii="宋体" w:hAnsi="宋体" w:cs="仿宋_GB2312"/>
                <w:szCs w:val="21"/>
              </w:rPr>
              <w:t>实施工作</w:t>
            </w:r>
            <w:r>
              <w:rPr>
                <w:rFonts w:hint="eastAsia" w:ascii="宋体" w:hAnsi="宋体" w:cs="仿宋_GB2312"/>
                <w:szCs w:val="21"/>
              </w:rPr>
              <w:t>周报</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470" w:type="dxa"/>
            <w:vAlign w:val="center"/>
          </w:tcPr>
          <w:p>
            <w:pPr>
              <w:spacing w:line="360" w:lineRule="auto"/>
              <w:jc w:val="center"/>
              <w:rPr>
                <w:rFonts w:ascii="宋体" w:hAnsi="宋体" w:cs="仿宋_GB2312"/>
                <w:szCs w:val="21"/>
              </w:rPr>
            </w:pPr>
            <w:r>
              <w:rPr>
                <w:rFonts w:hint="eastAsia" w:ascii="宋体" w:hAnsi="宋体" w:cs="仿宋_GB2312"/>
                <w:szCs w:val="21"/>
              </w:rPr>
              <w:t>1</w:t>
            </w:r>
            <w:r>
              <w:rPr>
                <w:rFonts w:ascii="宋体" w:hAnsi="宋体" w:cs="仿宋_GB2312"/>
                <w:szCs w:val="21"/>
              </w:rPr>
              <w:t>1</w:t>
            </w:r>
          </w:p>
        </w:tc>
        <w:tc>
          <w:tcPr>
            <w:tcW w:w="4441" w:type="dxa"/>
            <w:vAlign w:val="center"/>
          </w:tcPr>
          <w:p>
            <w:pPr>
              <w:spacing w:line="360" w:lineRule="auto"/>
              <w:jc w:val="center"/>
              <w:rPr>
                <w:rFonts w:ascii="宋体" w:hAnsi="宋体" w:cs="仿宋_GB2312"/>
                <w:szCs w:val="21"/>
              </w:rPr>
            </w:pPr>
            <w:r>
              <w:rPr>
                <w:rFonts w:hint="eastAsia" w:ascii="宋体" w:hAnsi="宋体" w:cs="仿宋_GB2312"/>
                <w:szCs w:val="21"/>
              </w:rPr>
              <w:t>系统元数据清单</w:t>
            </w:r>
          </w:p>
        </w:tc>
        <w:tc>
          <w:tcPr>
            <w:tcW w:w="2328" w:type="dxa"/>
            <w:vAlign w:val="center"/>
          </w:tcPr>
          <w:p>
            <w:pPr>
              <w:spacing w:line="360" w:lineRule="auto"/>
              <w:jc w:val="center"/>
              <w:rPr>
                <w:rFonts w:ascii="宋体" w:hAnsi="宋体" w:cs="仿宋_GB2312"/>
                <w:szCs w:val="21"/>
              </w:rPr>
            </w:pPr>
            <w:r>
              <w:rPr>
                <w:rFonts w:hint="eastAsia" w:ascii="宋体" w:hAnsi="宋体" w:cs="仿宋_GB2312"/>
                <w:szCs w:val="21"/>
              </w:rPr>
              <w:t>项目版本</w:t>
            </w:r>
          </w:p>
        </w:tc>
      </w:tr>
    </w:tbl>
    <w:p>
      <w:pPr>
        <w:pStyle w:val="2"/>
        <w:pageBreakBefore/>
        <w:widowControl/>
        <w:numPr>
          <w:ilvl w:val="0"/>
          <w:numId w:val="4"/>
        </w:numPr>
        <w:tabs>
          <w:tab w:val="left" w:pos="996"/>
        </w:tabs>
        <w:spacing w:line="360" w:lineRule="auto"/>
        <w:jc w:val="left"/>
        <w:rPr>
          <w:rFonts w:ascii="宋体" w:hAnsi="宋体" w:cs="仿宋_GB2312"/>
          <w:sz w:val="21"/>
          <w:szCs w:val="21"/>
        </w:rPr>
      </w:pPr>
      <w:bookmarkStart w:id="23" w:name="_Toc54164686"/>
      <w:r>
        <w:rPr>
          <w:rFonts w:hint="eastAsia" w:ascii="宋体" w:hAnsi="宋体" w:cs="仿宋_GB2312"/>
          <w:sz w:val="21"/>
          <w:szCs w:val="21"/>
        </w:rPr>
        <w:t>售后要求</w:t>
      </w:r>
      <w:bookmarkEnd w:id="23"/>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本平台的</w:t>
      </w:r>
      <w:r>
        <w:rPr>
          <w:rFonts w:ascii="宋体" w:hAnsi="宋体" w:cs="仿宋_GB2312"/>
          <w:szCs w:val="21"/>
        </w:rPr>
        <w:t>投标人</w:t>
      </w:r>
      <w:r>
        <w:rPr>
          <w:rFonts w:hint="eastAsia" w:ascii="宋体" w:hAnsi="宋体" w:cs="仿宋_GB2312"/>
          <w:szCs w:val="21"/>
        </w:rPr>
        <w:t>应为本系统提供</w:t>
      </w:r>
      <w:ins w:id="0" w:author="徐强" w:date="2020-11-05T16:21:28Z">
        <w:r>
          <w:rPr>
            <w:rFonts w:hint="eastAsia" w:ascii="宋体" w:hAnsi="宋体" w:cs="仿宋_GB2312"/>
            <w:szCs w:val="21"/>
            <w:lang w:val="en-US" w:eastAsia="zh-CN"/>
          </w:rPr>
          <w:t>不少于</w:t>
        </w:r>
      </w:ins>
      <w:r>
        <w:rPr>
          <w:rFonts w:hint="eastAsia" w:ascii="宋体" w:hAnsi="宋体" w:cs="仿宋_GB2312"/>
          <w:szCs w:val="21"/>
        </w:rPr>
        <w:t>3年的</w:t>
      </w:r>
      <w:r>
        <w:rPr>
          <w:rFonts w:hint="eastAsia" w:ascii="宋体" w:hAnsi="宋体" w:cs="仿宋_GB2312"/>
          <w:szCs w:val="21"/>
          <w:lang w:eastAsia="zh-Hans"/>
        </w:rPr>
        <w:t>验收后</w:t>
      </w:r>
      <w:r>
        <w:rPr>
          <w:rFonts w:hint="eastAsia" w:ascii="宋体" w:hAnsi="宋体" w:cs="仿宋_GB2312"/>
          <w:szCs w:val="21"/>
        </w:rPr>
        <w:t>免费售后服务，服务内容包括：</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(1)</w:t>
      </w:r>
      <w:r>
        <w:rPr>
          <w:rFonts w:hint="eastAsia" w:ascii="宋体" w:hAnsi="宋体" w:cs="仿宋_GB2312"/>
          <w:szCs w:val="21"/>
        </w:rPr>
        <w:tab/>
      </w:r>
      <w:r>
        <w:rPr>
          <w:rFonts w:hint="eastAsia" w:ascii="宋体" w:hAnsi="宋体" w:cs="仿宋_GB2312"/>
          <w:szCs w:val="21"/>
        </w:rPr>
        <w:t>提供标准</w:t>
      </w:r>
      <w:r>
        <w:rPr>
          <w:rFonts w:ascii="宋体" w:hAnsi="宋体" w:cs="仿宋_GB2312"/>
          <w:szCs w:val="21"/>
        </w:rPr>
        <w:t>的本地</w:t>
      </w:r>
      <w:r>
        <w:rPr>
          <w:rFonts w:hint="eastAsia" w:ascii="宋体" w:hAnsi="宋体" w:cs="仿宋_GB2312"/>
          <w:szCs w:val="21"/>
        </w:rPr>
        <w:t>化服务</w:t>
      </w:r>
      <w:r>
        <w:rPr>
          <w:rFonts w:ascii="宋体" w:hAnsi="宋体" w:cs="仿宋_GB2312"/>
          <w:szCs w:val="21"/>
        </w:rPr>
        <w:t>，投标人需要在南京本地有公司及至少1名实施驻场服务人员。</w:t>
      </w:r>
    </w:p>
    <w:p>
      <w:pPr>
        <w:snapToGrid w:val="0"/>
        <w:spacing w:line="360" w:lineRule="auto"/>
        <w:ind w:firstLine="420" w:firstLineChars="200"/>
        <w:rPr>
          <w:rFonts w:ascii="宋体" w:hAnsi="宋体" w:cs="仿宋_GB2312"/>
          <w:szCs w:val="21"/>
        </w:rPr>
      </w:pPr>
      <w:r>
        <w:rPr>
          <w:rFonts w:ascii="宋体" w:hAnsi="宋体" w:cs="仿宋_GB2312"/>
          <w:szCs w:val="21"/>
        </w:rPr>
        <w:t>驻场人员工作职责：严格按照项目工作流程进行项目推进、完成客户的需求调研、给出合理建议并整理成调研文案，进行技术开发反馈。系统部署及功能配置后的测试与交付、</w:t>
      </w:r>
      <w:r>
        <w:rPr>
          <w:rFonts w:hint="eastAsia" w:ascii="宋体" w:hAnsi="宋体" w:cs="仿宋_GB2312"/>
          <w:szCs w:val="21"/>
        </w:rPr>
        <w:t>数据整理及导入</w:t>
      </w:r>
      <w:r>
        <w:rPr>
          <w:rFonts w:ascii="宋体" w:hAnsi="宋体" w:cs="仿宋_GB2312"/>
          <w:szCs w:val="21"/>
        </w:rPr>
        <w:t>。用户分角色的培训。驻场服务周期为项目验收前不少于150天。验收后3年免费服务期不少于每周2天。免费售后服务期后按售后服务合同内容执行。</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(2)</w:t>
      </w:r>
      <w:r>
        <w:rPr>
          <w:rFonts w:hint="eastAsia" w:ascii="宋体" w:hAnsi="宋体" w:cs="仿宋_GB2312"/>
          <w:szCs w:val="21"/>
        </w:rPr>
        <w:tab/>
      </w:r>
      <w:r>
        <w:rPr>
          <w:rFonts w:hint="eastAsia" w:ascii="宋体" w:hAnsi="宋体" w:cs="仿宋_GB2312"/>
          <w:szCs w:val="21"/>
        </w:rPr>
        <w:t>软件使用过程中若出现问题，2小时内答复，24小时内解决问题。现场、电话、电子邮件、QQ等多渠道的不间断技术支持；</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(3)</w:t>
      </w:r>
      <w:r>
        <w:rPr>
          <w:rFonts w:hint="eastAsia" w:ascii="宋体" w:hAnsi="宋体" w:cs="仿宋_GB2312"/>
          <w:szCs w:val="21"/>
        </w:rPr>
        <w:tab/>
      </w:r>
      <w:r>
        <w:rPr>
          <w:rFonts w:hint="eastAsia" w:ascii="宋体" w:hAnsi="宋体" w:cs="仿宋_GB2312"/>
          <w:szCs w:val="21"/>
        </w:rPr>
        <w:t>对普通bug在5个工作日内完成修复使用；对影响用户使用的bug在2个工作日内完成修复使用；对于严重的系统bug和安全bug，在24小时内必须完成修复使用。</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(4)</w:t>
      </w:r>
      <w:r>
        <w:rPr>
          <w:rFonts w:hint="eastAsia" w:ascii="宋体" w:hAnsi="宋体" w:cs="仿宋_GB2312"/>
          <w:szCs w:val="21"/>
        </w:rPr>
        <w:tab/>
      </w:r>
      <w:r>
        <w:rPr>
          <w:rFonts w:hint="eastAsia" w:ascii="宋体" w:hAnsi="宋体" w:cs="仿宋_GB2312"/>
          <w:szCs w:val="21"/>
        </w:rPr>
        <w:t>根据需求变化，为系统扩容提供技术支持；</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(5)</w:t>
      </w:r>
      <w:r>
        <w:rPr>
          <w:rFonts w:hint="eastAsia" w:ascii="宋体" w:hAnsi="宋体" w:cs="仿宋_GB2312"/>
          <w:szCs w:val="21"/>
        </w:rPr>
        <w:tab/>
      </w:r>
      <w:r>
        <w:rPr>
          <w:rFonts w:hint="eastAsia" w:ascii="宋体" w:hAnsi="宋体" w:cs="仿宋_GB2312"/>
          <w:szCs w:val="21"/>
        </w:rPr>
        <w:t>系统运行维护，确保系统在售后服务期限内正常运行；</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(6)</w:t>
      </w:r>
      <w:r>
        <w:rPr>
          <w:rFonts w:hint="eastAsia" w:ascii="宋体" w:hAnsi="宋体" w:cs="仿宋_GB2312"/>
          <w:szCs w:val="21"/>
        </w:rPr>
        <w:tab/>
      </w:r>
      <w:r>
        <w:rPr>
          <w:rFonts w:hint="eastAsia" w:ascii="宋体" w:hAnsi="宋体" w:cs="仿宋_GB2312"/>
          <w:szCs w:val="21"/>
        </w:rPr>
        <w:t>根据全校信息平台的建设要求，对用户认证方式、数据共享接口进行修改；</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(7)</w:t>
      </w:r>
      <w:r>
        <w:rPr>
          <w:rFonts w:hint="eastAsia" w:ascii="宋体" w:hAnsi="宋体" w:cs="仿宋_GB2312"/>
          <w:szCs w:val="21"/>
        </w:rPr>
        <w:tab/>
      </w:r>
      <w:r>
        <w:rPr>
          <w:rFonts w:hint="eastAsia" w:ascii="宋体" w:hAnsi="宋体" w:cs="仿宋_GB2312"/>
          <w:szCs w:val="21"/>
        </w:rPr>
        <w:t>根据其他职能部门信息系统建设的要求，对自动获取数据的方式进行修改。</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(8)</w:t>
      </w:r>
      <w:r>
        <w:rPr>
          <w:rFonts w:hint="eastAsia" w:ascii="宋体" w:hAnsi="宋体" w:cs="仿宋_GB2312"/>
          <w:szCs w:val="21"/>
        </w:rPr>
        <w:tab/>
      </w:r>
      <w:r>
        <w:rPr>
          <w:rFonts w:hint="eastAsia" w:ascii="宋体" w:hAnsi="宋体" w:cs="仿宋_GB2312"/>
          <w:szCs w:val="21"/>
        </w:rPr>
        <w:t>本项目的实施要求有丰富经验的实施工程师驻场进行系统实施及特殊需求开发调研部署。</w:t>
      </w:r>
    </w:p>
    <w:p>
      <w:pPr>
        <w:numPr>
          <w:ilvl w:val="0"/>
          <w:numId w:val="5"/>
        </w:numPr>
        <w:snapToGrid w:val="0"/>
        <w:spacing w:line="360" w:lineRule="auto"/>
        <w:ind w:left="0" w:firstLine="431"/>
        <w:rPr>
          <w:rFonts w:ascii="宋体" w:hAnsi="宋体" w:cs="仿宋_GB2312"/>
          <w:szCs w:val="21"/>
        </w:rPr>
      </w:pPr>
      <w:r>
        <w:rPr>
          <w:rFonts w:hint="eastAsia" w:ascii="宋体" w:hAnsi="宋体" w:cs="仿宋_GB2312"/>
          <w:szCs w:val="21"/>
        </w:rPr>
        <w:t>(9)</w:t>
      </w:r>
      <w:r>
        <w:rPr>
          <w:rFonts w:hint="eastAsia" w:ascii="宋体" w:hAnsi="宋体" w:cs="仿宋_GB2312"/>
          <w:szCs w:val="21"/>
        </w:rPr>
        <w:tab/>
      </w:r>
      <w:r>
        <w:rPr>
          <w:rFonts w:hint="eastAsia" w:ascii="宋体" w:hAnsi="宋体" w:cs="仿宋_GB2312"/>
          <w:szCs w:val="21"/>
        </w:rPr>
        <w:t>本项目要免费与学校数字化平台（现有系统与将来需要上线的系统）进行集成，提供必要的技术支持和咨询服务。</w:t>
      </w:r>
    </w:p>
    <w:p>
      <w:pPr>
        <w:numPr>
          <w:ilvl w:val="0"/>
          <w:numId w:val="5"/>
        </w:numPr>
        <w:snapToGrid w:val="0"/>
        <w:spacing w:line="360" w:lineRule="auto"/>
        <w:ind w:left="0" w:firstLine="431"/>
        <w:rPr>
          <w:rFonts w:ascii="宋体" w:hAnsi="宋体" w:cs="仿宋_GB2312"/>
          <w:szCs w:val="21"/>
          <w:highlight w:val="yellow"/>
        </w:rPr>
      </w:pPr>
      <w:r>
        <w:rPr>
          <w:rFonts w:hint="eastAsia" w:ascii="宋体" w:hAnsi="宋体" w:cs="仿宋_GB2312"/>
          <w:szCs w:val="21"/>
        </w:rPr>
        <w:t>(10)在免费售后服务的基础上，必须为本系统提供终生的技术支持和价格合理的</w:t>
      </w:r>
      <w:r>
        <w:rPr>
          <w:rFonts w:ascii="宋体" w:hAnsi="宋体" w:cs="仿宋_GB2312"/>
          <w:szCs w:val="21"/>
        </w:rPr>
        <w:t>年度维护服务费</w:t>
      </w:r>
      <w:r>
        <w:rPr>
          <w:rFonts w:hint="eastAsia" w:ascii="宋体" w:hAnsi="宋体" w:cs="仿宋_GB2312"/>
          <w:szCs w:val="21"/>
        </w:rPr>
        <w:t>（按合同金额收取年</w:t>
      </w:r>
      <w:r>
        <w:rPr>
          <w:rFonts w:ascii="宋体" w:hAnsi="宋体" w:cs="仿宋_GB2312"/>
          <w:szCs w:val="21"/>
        </w:rPr>
        <w:t>度维护</w:t>
      </w:r>
      <w:r>
        <w:rPr>
          <w:rFonts w:hint="eastAsia" w:ascii="宋体" w:hAnsi="宋体" w:cs="仿宋_GB2312"/>
          <w:szCs w:val="21"/>
        </w:rPr>
        <w:t>服务费不高于10%比例）。</w:t>
      </w:r>
    </w:p>
    <w:p>
      <w:pPr>
        <w:spacing w:line="360" w:lineRule="auto"/>
        <w:rPr>
          <w:rFonts w:hint="eastAsia" w:ascii="宋体" w:hAnsi="宋体"/>
          <w:color w:val="000000"/>
          <w:szCs w:val="21"/>
          <w:highlight w:val="yellow"/>
        </w:rPr>
      </w:pPr>
    </w:p>
    <w:p>
      <w:pPr>
        <w:pStyle w:val="24"/>
        <w:snapToGrid w:val="0"/>
        <w:spacing w:before="120" w:after="120"/>
        <w:rPr>
          <w:rFonts w:hAnsi="宋体"/>
          <w:bCs/>
          <w:sz w:val="22"/>
          <w:szCs w:val="22"/>
        </w:rPr>
      </w:pPr>
      <w:r>
        <w:rPr>
          <w:rFonts w:hint="eastAsia" w:ascii="宋体" w:hAnsi="宋体"/>
          <w:color w:val="000000"/>
          <w:szCs w:val="21"/>
          <w:highlight w:val="yellow"/>
          <w:lang w:val="en-US" w:eastAsia="zh-CN"/>
        </w:rPr>
        <w:t>8.付款方式：</w:t>
      </w:r>
      <w:r>
        <w:rPr>
          <w:rFonts w:hint="eastAsia" w:hAnsi="宋体"/>
          <w:bCs/>
          <w:sz w:val="22"/>
          <w:szCs w:val="22"/>
          <w:highlight w:val="yellow"/>
        </w:rPr>
        <w:t>自合同签订生效后30天内，全部设备、材料、软件运抵学校工地现场。合同签订后10个工作日内，甲方向乙方支付合同总价20%的预付款；项目验收合格后，乙方向甲方支付项目总金额5%的质保金，甲方在质保金到账10个工作日内向乙方支付除预付款外其他款项。验收合格两年后，无质量及服务问题乙方可申请取回本金。</w:t>
      </w:r>
    </w:p>
    <w:p>
      <w:pPr>
        <w:spacing w:line="360" w:lineRule="auto"/>
        <w:rPr>
          <w:rFonts w:hint="default" w:ascii="宋体" w:hAnsi="宋体" w:eastAsia="宋体"/>
          <w:color w:val="000000"/>
          <w:szCs w:val="21"/>
          <w:highlight w:val="yellow"/>
          <w:lang w:val="en-US" w:eastAsia="zh-CN"/>
        </w:rPr>
        <w:sectPr>
          <w:footerReference r:id="rId4" w:type="first"/>
          <w:footerReference r:id="rId3" w:type="default"/>
          <w:pgSz w:w="11906" w:h="16838"/>
          <w:pgMar w:top="1440" w:right="1797" w:bottom="1440" w:left="1797" w:header="851" w:footer="992" w:gutter="0"/>
          <w:cols w:space="720" w:num="1"/>
          <w:titlePg/>
          <w:docGrid w:type="linesAndChars" w:linePitch="312" w:charSpace="0"/>
        </w:sectPr>
      </w:pPr>
    </w:p>
    <w:p>
      <w:pPr>
        <w:pStyle w:val="2"/>
        <w:numPr>
          <w:ilvl w:val="0"/>
          <w:numId w:val="0"/>
        </w:numPr>
        <w:rPr>
          <w:rFonts w:ascii="Arial" w:hAnsi="Arial" w:cs="Arial"/>
          <w:kern w:val="0"/>
        </w:rPr>
      </w:pPr>
      <w:bookmarkStart w:id="24" w:name="_Toc43902852"/>
      <w:r>
        <w:rPr>
          <w:rFonts w:ascii="Arial" w:hAnsi="Arial" w:cs="Arial"/>
          <w:kern w:val="0"/>
        </w:rPr>
        <w:t>第五章 主要条款及格式</w:t>
      </w:r>
      <w:bookmarkEnd w:id="7"/>
      <w:bookmarkEnd w:id="24"/>
    </w:p>
    <w:p>
      <w:pPr>
        <w:jc w:val="center"/>
        <w:rPr>
          <w:rFonts w:eastAsia="黑体"/>
          <w:sz w:val="48"/>
          <w:szCs w:val="48"/>
        </w:rPr>
      </w:pPr>
      <w:r>
        <w:rPr>
          <w:rFonts w:hint="eastAsia" w:eastAsia="黑体"/>
          <w:sz w:val="48"/>
          <w:szCs w:val="48"/>
        </w:rPr>
        <w:t>南京审计大学人力资源管理信息系统合同</w:t>
      </w:r>
    </w:p>
    <w:p>
      <w:pPr>
        <w:ind w:firstLine="1418"/>
        <w:rPr>
          <w:rFonts w:ascii="黑体" w:eastAsia="黑体"/>
          <w:sz w:val="36"/>
          <w:szCs w:val="36"/>
        </w:rPr>
      </w:pPr>
    </w:p>
    <w:p>
      <w:pPr>
        <w:ind w:firstLine="440" w:firstLineChars="200"/>
        <w:rPr>
          <w:rFonts w:ascii="宋体" w:hAnsi="宋体"/>
          <w:bCs/>
          <w:sz w:val="22"/>
          <w:szCs w:val="20"/>
        </w:rPr>
      </w:pPr>
      <w:bookmarkStart w:id="25" w:name="_Toc20823315"/>
      <w:bookmarkStart w:id="26" w:name="_Toc513029243"/>
      <w:bookmarkStart w:id="27" w:name="_Toc16938559"/>
      <w:r>
        <w:rPr>
          <w:rFonts w:hint="eastAsia" w:ascii="宋体" w:hAnsi="宋体"/>
          <w:bCs/>
          <w:sz w:val="22"/>
          <w:szCs w:val="20"/>
        </w:rPr>
        <w:t>以下为中标后签定本项目合同的通用条款，中标人不得提出实质性的修改，关于专用条款将由采购人与中标人结合本项目具体情况协商后签订。</w:t>
      </w:r>
    </w:p>
    <w:p>
      <w:pPr>
        <w:pStyle w:val="24"/>
        <w:snapToGrid w:val="0"/>
        <w:spacing w:before="120" w:after="120"/>
        <w:rPr>
          <w:rFonts w:hAnsi="宋体"/>
          <w:sz w:val="22"/>
          <w:szCs w:val="22"/>
        </w:rPr>
      </w:pPr>
    </w:p>
    <w:p>
      <w:pPr>
        <w:pStyle w:val="24"/>
        <w:snapToGrid w:val="0"/>
        <w:spacing w:before="120" w:after="120"/>
        <w:rPr>
          <w:rFonts w:hAnsi="宋体"/>
          <w:sz w:val="22"/>
          <w:szCs w:val="22"/>
        </w:rPr>
      </w:pPr>
      <w:r>
        <w:rPr>
          <w:rFonts w:hAnsi="宋体"/>
          <w:sz w:val="22"/>
          <w:szCs w:val="22"/>
        </w:rPr>
        <w:t>项目名称：                                       项目编号：</w:t>
      </w:r>
    </w:p>
    <w:p>
      <w:pPr>
        <w:pStyle w:val="24"/>
        <w:snapToGrid w:val="0"/>
        <w:spacing w:before="120" w:after="120"/>
        <w:rPr>
          <w:rFonts w:hAnsi="宋体"/>
          <w:sz w:val="22"/>
          <w:szCs w:val="22"/>
        </w:rPr>
      </w:pPr>
      <w:r>
        <w:rPr>
          <w:rFonts w:hAnsi="宋体"/>
          <w:sz w:val="22"/>
          <w:szCs w:val="22"/>
        </w:rPr>
        <w:t>甲方：（买方）_________</w:t>
      </w:r>
    </w:p>
    <w:p>
      <w:pPr>
        <w:pStyle w:val="24"/>
        <w:snapToGrid w:val="0"/>
        <w:spacing w:before="120" w:after="120"/>
        <w:rPr>
          <w:rFonts w:hAnsi="宋体"/>
          <w:sz w:val="22"/>
          <w:szCs w:val="22"/>
        </w:rPr>
      </w:pPr>
      <w:r>
        <w:rPr>
          <w:rFonts w:hAnsi="宋体"/>
          <w:sz w:val="22"/>
          <w:szCs w:val="22"/>
        </w:rPr>
        <w:t>乙方：（卖方）_________</w:t>
      </w:r>
    </w:p>
    <w:p>
      <w:pPr>
        <w:pStyle w:val="24"/>
        <w:snapToGrid w:val="0"/>
        <w:spacing w:before="120" w:after="120"/>
        <w:rPr>
          <w:rFonts w:hAnsi="宋体"/>
          <w:b/>
          <w:sz w:val="22"/>
          <w:szCs w:val="22"/>
        </w:rPr>
      </w:pPr>
      <w:r>
        <w:rPr>
          <w:rFonts w:hAnsi="宋体"/>
          <w:b/>
          <w:sz w:val="22"/>
          <w:szCs w:val="22"/>
        </w:rPr>
        <w:t xml:space="preserve">   </w:t>
      </w:r>
      <w:r>
        <w:rPr>
          <w:rFonts w:hAnsi="宋体"/>
          <w:sz w:val="22"/>
          <w:szCs w:val="22"/>
        </w:rPr>
        <w:t>甲、乙双方根据</w:t>
      </w:r>
      <w:r>
        <w:rPr>
          <w:rFonts w:hint="eastAsia" w:hAnsi="宋体"/>
          <w:sz w:val="22"/>
          <w:szCs w:val="22"/>
        </w:rPr>
        <w:t>江苏省政府采购中心</w:t>
      </w:r>
      <w:r>
        <w:rPr>
          <w:rFonts w:hint="eastAsia" w:hAnsi="宋体"/>
          <w:sz w:val="22"/>
          <w:szCs w:val="22"/>
          <w:u w:val="single"/>
        </w:rPr>
        <w:t xml:space="preserve">         </w:t>
      </w:r>
      <w:r>
        <w:rPr>
          <w:rFonts w:hAnsi="宋体"/>
          <w:sz w:val="22"/>
          <w:szCs w:val="22"/>
        </w:rPr>
        <w:t>项目公开招标的结果，签署本合同。</w:t>
      </w:r>
    </w:p>
    <w:p>
      <w:pPr>
        <w:pStyle w:val="24"/>
        <w:snapToGrid w:val="0"/>
        <w:spacing w:before="120" w:after="120"/>
        <w:rPr>
          <w:rFonts w:hAnsi="宋体"/>
          <w:b/>
          <w:sz w:val="22"/>
          <w:szCs w:val="22"/>
        </w:rPr>
      </w:pPr>
      <w:r>
        <w:rPr>
          <w:rFonts w:hAnsi="宋体"/>
          <w:b/>
          <w:sz w:val="22"/>
          <w:szCs w:val="22"/>
        </w:rPr>
        <w:t>一、</w:t>
      </w:r>
      <w:r>
        <w:rPr>
          <w:rFonts w:hint="eastAsia" w:hAnsi="宋体"/>
          <w:b/>
          <w:sz w:val="22"/>
          <w:szCs w:val="22"/>
        </w:rPr>
        <w:t>产品</w:t>
      </w:r>
      <w:r>
        <w:rPr>
          <w:rFonts w:hAnsi="宋体"/>
          <w:b/>
          <w:sz w:val="22"/>
          <w:szCs w:val="22"/>
        </w:rPr>
        <w:t>内容</w:t>
      </w:r>
    </w:p>
    <w:p>
      <w:pPr>
        <w:pStyle w:val="24"/>
        <w:snapToGrid w:val="0"/>
        <w:spacing w:before="120" w:after="120"/>
        <w:rPr>
          <w:rFonts w:hAnsi="宋体"/>
          <w:sz w:val="22"/>
          <w:szCs w:val="22"/>
        </w:rPr>
      </w:pPr>
      <w:r>
        <w:rPr>
          <w:rFonts w:hAnsi="宋体"/>
          <w:sz w:val="22"/>
          <w:szCs w:val="22"/>
        </w:rPr>
        <w:t xml:space="preserve">1.1 </w:t>
      </w:r>
      <w:r>
        <w:rPr>
          <w:rFonts w:hint="eastAsia" w:hAnsi="宋体"/>
          <w:b/>
          <w:sz w:val="22"/>
          <w:szCs w:val="22"/>
        </w:rPr>
        <w:t>产品</w:t>
      </w:r>
      <w:r>
        <w:rPr>
          <w:rFonts w:hAnsi="宋体"/>
          <w:sz w:val="22"/>
          <w:szCs w:val="22"/>
        </w:rPr>
        <w:t>名称：</w:t>
      </w:r>
    </w:p>
    <w:p>
      <w:pPr>
        <w:pStyle w:val="24"/>
        <w:snapToGrid w:val="0"/>
        <w:spacing w:before="120" w:after="120"/>
        <w:rPr>
          <w:rFonts w:hAnsi="宋体"/>
          <w:sz w:val="22"/>
          <w:szCs w:val="22"/>
        </w:rPr>
      </w:pPr>
      <w:r>
        <w:rPr>
          <w:rFonts w:hAnsi="宋体"/>
          <w:sz w:val="22"/>
          <w:szCs w:val="22"/>
        </w:rPr>
        <w:t>1.2 型号规格：</w:t>
      </w:r>
    </w:p>
    <w:p>
      <w:pPr>
        <w:pStyle w:val="24"/>
        <w:snapToGrid w:val="0"/>
        <w:spacing w:before="120" w:after="120"/>
        <w:rPr>
          <w:rFonts w:hAnsi="宋体"/>
          <w:sz w:val="22"/>
          <w:szCs w:val="22"/>
        </w:rPr>
      </w:pPr>
      <w:r>
        <w:rPr>
          <w:rFonts w:hAnsi="宋体"/>
          <w:sz w:val="22"/>
          <w:szCs w:val="22"/>
        </w:rPr>
        <w:t>1.3 数量（单位）：</w:t>
      </w:r>
    </w:p>
    <w:p>
      <w:pPr>
        <w:pStyle w:val="24"/>
        <w:snapToGrid w:val="0"/>
        <w:spacing w:before="120" w:after="120"/>
        <w:rPr>
          <w:rFonts w:hAnsi="宋体"/>
          <w:b/>
          <w:sz w:val="22"/>
          <w:szCs w:val="22"/>
        </w:rPr>
      </w:pPr>
      <w:r>
        <w:rPr>
          <w:rFonts w:hAnsi="宋体"/>
          <w:b/>
          <w:sz w:val="22"/>
          <w:szCs w:val="22"/>
        </w:rPr>
        <w:t>二、合同金额</w:t>
      </w:r>
    </w:p>
    <w:p>
      <w:pPr>
        <w:pStyle w:val="24"/>
        <w:snapToGrid w:val="0"/>
        <w:spacing w:before="120" w:after="120"/>
        <w:ind w:left="376" w:hanging="376" w:hangingChars="171"/>
        <w:rPr>
          <w:rFonts w:hAnsi="宋体"/>
          <w:sz w:val="22"/>
          <w:szCs w:val="22"/>
        </w:rPr>
      </w:pPr>
      <w:r>
        <w:rPr>
          <w:rFonts w:hAnsi="宋体"/>
          <w:sz w:val="22"/>
          <w:szCs w:val="22"/>
        </w:rPr>
        <w:t>2.1 本合同金额为（大写）：____________________________________</w:t>
      </w:r>
      <w:r>
        <w:rPr>
          <w:rFonts w:hint="eastAsia" w:hAnsi="宋体"/>
          <w:sz w:val="22"/>
          <w:szCs w:val="22"/>
        </w:rPr>
        <w:t>圆</w:t>
      </w:r>
      <w:r>
        <w:rPr>
          <w:rFonts w:hAnsi="宋体"/>
          <w:sz w:val="22"/>
          <w:szCs w:val="22"/>
        </w:rPr>
        <w:t>（_______________元）人民币</w:t>
      </w:r>
      <w:r>
        <w:rPr>
          <w:rFonts w:hint="eastAsia" w:hAnsi="宋体"/>
          <w:sz w:val="22"/>
          <w:szCs w:val="22"/>
        </w:rPr>
        <w:t>或其他币种</w:t>
      </w:r>
      <w:r>
        <w:rPr>
          <w:rFonts w:hAnsi="宋体"/>
          <w:sz w:val="22"/>
          <w:szCs w:val="22"/>
        </w:rPr>
        <w:t>。</w:t>
      </w:r>
    </w:p>
    <w:p>
      <w:pPr>
        <w:pStyle w:val="24"/>
        <w:snapToGrid w:val="0"/>
        <w:spacing w:before="120" w:after="120"/>
        <w:rPr>
          <w:rFonts w:hAnsi="宋体"/>
          <w:b/>
          <w:sz w:val="22"/>
          <w:szCs w:val="22"/>
        </w:rPr>
      </w:pPr>
      <w:r>
        <w:rPr>
          <w:rFonts w:hAnsi="宋体"/>
          <w:b/>
          <w:sz w:val="22"/>
          <w:szCs w:val="22"/>
        </w:rPr>
        <w:t>三、技术资料</w:t>
      </w:r>
    </w:p>
    <w:p>
      <w:pPr>
        <w:pStyle w:val="24"/>
        <w:snapToGrid w:val="0"/>
        <w:spacing w:before="120" w:after="120"/>
        <w:ind w:left="376" w:hanging="376" w:hangingChars="171"/>
        <w:rPr>
          <w:rFonts w:hAnsi="宋体"/>
          <w:sz w:val="22"/>
          <w:szCs w:val="22"/>
        </w:rPr>
      </w:pPr>
      <w:r>
        <w:rPr>
          <w:rFonts w:hAnsi="宋体"/>
          <w:sz w:val="22"/>
          <w:szCs w:val="22"/>
        </w:rPr>
        <w:t>3.1乙方应按招标文件规定的时间向甲方提供使用货物的有关技术资料。</w:t>
      </w:r>
    </w:p>
    <w:p>
      <w:pPr>
        <w:pStyle w:val="24"/>
        <w:snapToGrid w:val="0"/>
        <w:spacing w:before="120" w:after="120"/>
        <w:ind w:left="376" w:hanging="376" w:hangingChars="171"/>
        <w:rPr>
          <w:rFonts w:hAnsi="宋体"/>
          <w:sz w:val="22"/>
          <w:szCs w:val="22"/>
        </w:rPr>
      </w:pPr>
      <w:r>
        <w:rPr>
          <w:rFonts w:hAnsi="宋体"/>
          <w:sz w:val="22"/>
          <w:szCs w:val="22"/>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before="120" w:after="120"/>
        <w:ind w:left="378" w:hanging="378" w:hangingChars="171"/>
        <w:rPr>
          <w:rFonts w:hAnsi="宋体"/>
          <w:b/>
          <w:sz w:val="22"/>
          <w:szCs w:val="22"/>
        </w:rPr>
      </w:pPr>
      <w:r>
        <w:rPr>
          <w:rFonts w:hAnsi="宋体"/>
          <w:b/>
          <w:sz w:val="22"/>
          <w:szCs w:val="22"/>
        </w:rPr>
        <w:t>四、知识产权</w:t>
      </w:r>
    </w:p>
    <w:p>
      <w:pPr>
        <w:ind w:firstLine="440" w:firstLineChars="200"/>
        <w:rPr>
          <w:rFonts w:ascii="宋体" w:hAnsi="宋体"/>
          <w:sz w:val="22"/>
          <w:szCs w:val="20"/>
        </w:rPr>
      </w:pPr>
      <w:r>
        <w:rPr>
          <w:rFonts w:hAnsi="宋体"/>
          <w:sz w:val="22"/>
          <w:szCs w:val="22"/>
        </w:rPr>
        <w:t>4.1乙</w:t>
      </w:r>
      <w:r>
        <w:rPr>
          <w:rFonts w:hint="eastAsia" w:ascii="宋体" w:hAnsi="宋体"/>
          <w:sz w:val="22"/>
          <w:szCs w:val="20"/>
        </w:rPr>
        <w:t>方应保证甲方在使用、接受本合同货物和服务或其任何一部分时不受第三方提出侵犯其专利权、版权、商标权和工业设计权等知识产权的起诉。一旦出现侵权，由乙方负全部责任。</w:t>
      </w:r>
    </w:p>
    <w:p>
      <w:pPr>
        <w:pStyle w:val="24"/>
        <w:snapToGrid w:val="0"/>
        <w:spacing w:before="120" w:after="120"/>
        <w:rPr>
          <w:rFonts w:hAnsi="宋体"/>
          <w:sz w:val="22"/>
          <w:szCs w:val="22"/>
          <w:u w:val="single"/>
        </w:rPr>
      </w:pPr>
      <w:r>
        <w:rPr>
          <w:rFonts w:hAnsi="宋体"/>
          <w:b/>
          <w:sz w:val="22"/>
          <w:szCs w:val="22"/>
        </w:rPr>
        <w:t>五、产权担保</w:t>
      </w:r>
    </w:p>
    <w:p>
      <w:pPr>
        <w:pStyle w:val="24"/>
        <w:snapToGrid w:val="0"/>
        <w:spacing w:before="120" w:after="120"/>
        <w:ind w:left="374" w:hanging="374" w:hangingChars="170"/>
        <w:rPr>
          <w:rFonts w:hAnsi="宋体"/>
          <w:sz w:val="22"/>
          <w:szCs w:val="22"/>
          <w:u w:val="single"/>
        </w:rPr>
      </w:pPr>
      <w:r>
        <w:rPr>
          <w:rFonts w:hAnsi="宋体"/>
          <w:sz w:val="22"/>
          <w:szCs w:val="22"/>
        </w:rPr>
        <w:t>5.1 乙方保证所交付的货物的所有权完全属于乙方且无任何抵押、查封等产权瑕疵。</w:t>
      </w:r>
    </w:p>
    <w:p>
      <w:pPr>
        <w:pStyle w:val="24"/>
        <w:snapToGrid w:val="0"/>
        <w:spacing w:before="120" w:after="120"/>
        <w:ind w:left="375" w:hanging="375" w:hangingChars="170"/>
        <w:rPr>
          <w:rFonts w:hAnsi="宋体"/>
          <w:b/>
          <w:sz w:val="22"/>
          <w:szCs w:val="22"/>
        </w:rPr>
      </w:pPr>
      <w:r>
        <w:rPr>
          <w:rFonts w:hAnsi="宋体"/>
          <w:b/>
          <w:sz w:val="22"/>
          <w:szCs w:val="22"/>
        </w:rPr>
        <w:t>六、履约保证金</w:t>
      </w:r>
    </w:p>
    <w:p>
      <w:pPr>
        <w:pStyle w:val="24"/>
        <w:snapToGrid w:val="0"/>
        <w:spacing w:before="120" w:after="120"/>
        <w:ind w:left="374" w:hanging="374" w:hangingChars="170"/>
        <w:rPr>
          <w:rFonts w:hAnsi="宋体"/>
          <w:sz w:val="22"/>
          <w:szCs w:val="22"/>
        </w:rPr>
      </w:pPr>
      <w:r>
        <w:rPr>
          <w:rFonts w:hAnsi="宋体"/>
          <w:sz w:val="22"/>
          <w:szCs w:val="22"/>
        </w:rPr>
        <w:t>6.1 乙方交纳人民币_________元作为本合同的履约保证金。</w:t>
      </w:r>
      <w:r>
        <w:rPr>
          <w:rFonts w:hint="eastAsia" w:hAnsi="宋体"/>
          <w:sz w:val="22"/>
          <w:szCs w:val="22"/>
        </w:rPr>
        <w:t>（不得超过合同金额的10%）</w:t>
      </w:r>
    </w:p>
    <w:p>
      <w:pPr>
        <w:pStyle w:val="24"/>
        <w:snapToGrid w:val="0"/>
        <w:spacing w:before="120" w:after="120"/>
        <w:ind w:left="374" w:hanging="374" w:hangingChars="170"/>
        <w:rPr>
          <w:rFonts w:hAnsi="宋体"/>
          <w:sz w:val="22"/>
          <w:szCs w:val="22"/>
        </w:rPr>
      </w:pPr>
      <w:r>
        <w:rPr>
          <w:rFonts w:hint="eastAsia" w:hAnsi="宋体"/>
          <w:sz w:val="22"/>
          <w:szCs w:val="22"/>
        </w:rPr>
        <w:t>6.2合同履行结束后，甲方应及时退还交纳的履约保证金。</w:t>
      </w:r>
    </w:p>
    <w:p>
      <w:pPr>
        <w:pStyle w:val="24"/>
        <w:snapToGrid w:val="0"/>
        <w:spacing w:before="120" w:after="120"/>
        <w:ind w:left="374" w:hanging="374" w:hangingChars="170"/>
        <w:rPr>
          <w:rFonts w:hAnsi="宋体"/>
          <w:sz w:val="22"/>
          <w:szCs w:val="22"/>
        </w:rPr>
      </w:pPr>
      <w:r>
        <w:rPr>
          <w:rFonts w:hint="eastAsia" w:hAnsi="宋体"/>
          <w:sz w:val="22"/>
          <w:szCs w:val="22"/>
        </w:rPr>
        <w:t>6.2.1履约保证金退还方式：</w:t>
      </w:r>
    </w:p>
    <w:p>
      <w:pPr>
        <w:pStyle w:val="24"/>
        <w:snapToGrid w:val="0"/>
        <w:spacing w:before="120" w:after="120"/>
        <w:ind w:left="374" w:hanging="374" w:hangingChars="170"/>
        <w:rPr>
          <w:rFonts w:hAnsi="宋体"/>
          <w:sz w:val="22"/>
          <w:szCs w:val="22"/>
        </w:rPr>
      </w:pPr>
      <w:r>
        <w:rPr>
          <w:rFonts w:hint="eastAsia" w:hAnsi="宋体"/>
          <w:sz w:val="22"/>
          <w:szCs w:val="22"/>
        </w:rPr>
        <w:t>6.2.2履约保证金退还时间：</w:t>
      </w:r>
    </w:p>
    <w:p>
      <w:pPr>
        <w:pStyle w:val="24"/>
        <w:snapToGrid w:val="0"/>
        <w:spacing w:before="120" w:after="120"/>
        <w:ind w:left="374" w:hanging="374" w:hangingChars="170"/>
        <w:rPr>
          <w:rFonts w:hAnsi="宋体"/>
          <w:sz w:val="22"/>
          <w:szCs w:val="22"/>
        </w:rPr>
      </w:pPr>
      <w:r>
        <w:rPr>
          <w:rFonts w:hint="eastAsia" w:hAnsi="宋体"/>
          <w:sz w:val="22"/>
          <w:szCs w:val="22"/>
        </w:rPr>
        <w:t>6.2.3履约保证金退还条件：</w:t>
      </w:r>
    </w:p>
    <w:p>
      <w:pPr>
        <w:pStyle w:val="24"/>
        <w:snapToGrid w:val="0"/>
        <w:spacing w:before="120" w:after="120"/>
        <w:ind w:left="374" w:hanging="374" w:hangingChars="170"/>
        <w:rPr>
          <w:rFonts w:hAnsi="宋体"/>
          <w:sz w:val="22"/>
          <w:szCs w:val="22"/>
        </w:rPr>
      </w:pPr>
      <w:r>
        <w:rPr>
          <w:rFonts w:hint="eastAsia" w:hAnsi="宋体"/>
          <w:sz w:val="22"/>
          <w:szCs w:val="22"/>
        </w:rPr>
        <w:t>6.2.4履约保证金不予退还的情形：</w:t>
      </w:r>
    </w:p>
    <w:p>
      <w:pPr>
        <w:snapToGrid w:val="0"/>
        <w:spacing w:before="156" w:beforeLines="50" w:after="156" w:afterLines="50"/>
        <w:rPr>
          <w:rFonts w:ascii="宋体" w:hAnsi="宋体" w:eastAsia="仿宋_GB2312"/>
          <w:b/>
          <w:sz w:val="22"/>
          <w:szCs w:val="22"/>
        </w:rPr>
      </w:pPr>
      <w:r>
        <w:rPr>
          <w:rFonts w:hint="eastAsia" w:ascii="宋体" w:hAnsi="宋体"/>
          <w:b/>
          <w:sz w:val="22"/>
          <w:szCs w:val="22"/>
        </w:rPr>
        <w:t>七、转包或分包</w:t>
      </w:r>
    </w:p>
    <w:p>
      <w:pPr>
        <w:snapToGrid w:val="0"/>
        <w:spacing w:before="156" w:beforeLines="50" w:after="156" w:afterLines="50"/>
        <w:rPr>
          <w:rFonts w:ascii="宋体" w:hAnsi="宋体" w:eastAsia="仿宋_GB2312"/>
          <w:sz w:val="22"/>
          <w:szCs w:val="22"/>
        </w:rPr>
      </w:pPr>
      <w:r>
        <w:rPr>
          <w:rFonts w:ascii="宋体" w:hAnsi="宋体"/>
          <w:sz w:val="22"/>
          <w:szCs w:val="22"/>
        </w:rPr>
        <w:t>7.1</w:t>
      </w:r>
      <w:r>
        <w:rPr>
          <w:rFonts w:hint="eastAsia" w:ascii="宋体" w:hAnsi="宋体"/>
          <w:sz w:val="22"/>
          <w:szCs w:val="22"/>
        </w:rPr>
        <w:t>本合同范围的货物，应由乙方直接供应，不得转让他人供应；</w:t>
      </w:r>
    </w:p>
    <w:p>
      <w:pPr>
        <w:snapToGrid w:val="0"/>
        <w:spacing w:before="156" w:beforeLines="50" w:after="156" w:afterLines="50"/>
        <w:rPr>
          <w:rFonts w:ascii="宋体" w:hAnsi="宋体" w:eastAsia="仿宋_GB2312"/>
          <w:sz w:val="22"/>
          <w:szCs w:val="22"/>
        </w:rPr>
      </w:pPr>
      <w:r>
        <w:rPr>
          <w:rFonts w:ascii="宋体" w:hAnsi="宋体"/>
          <w:sz w:val="22"/>
          <w:szCs w:val="22"/>
        </w:rPr>
        <w:t xml:space="preserve">7.2 </w:t>
      </w:r>
      <w:r>
        <w:rPr>
          <w:rFonts w:hint="eastAsia" w:ascii="宋体" w:hAnsi="宋体"/>
          <w:sz w:val="22"/>
          <w:szCs w:val="22"/>
        </w:rPr>
        <w:t>除非得到甲方的书面同意，乙方不得部分分包给他人供应。</w:t>
      </w:r>
    </w:p>
    <w:p>
      <w:pPr>
        <w:snapToGrid w:val="0"/>
        <w:spacing w:before="156" w:beforeLines="50" w:after="156" w:afterLines="50"/>
        <w:rPr>
          <w:rFonts w:ascii="宋体" w:hAnsi="宋体" w:eastAsia="仿宋_GB2312"/>
          <w:sz w:val="22"/>
          <w:szCs w:val="22"/>
        </w:rPr>
      </w:pPr>
      <w:r>
        <w:rPr>
          <w:rFonts w:ascii="宋体" w:hAnsi="宋体"/>
          <w:sz w:val="22"/>
          <w:szCs w:val="22"/>
        </w:rPr>
        <w:t>7.3</w:t>
      </w:r>
      <w:r>
        <w:rPr>
          <w:rFonts w:hint="eastAsia" w:ascii="宋体" w:hAnsi="宋体"/>
          <w:sz w:val="22"/>
          <w:szCs w:val="22"/>
        </w:rPr>
        <w:t>如有转让和未经甲方同意的分包行为，甲方有权给予终止合同。</w:t>
      </w:r>
    </w:p>
    <w:p>
      <w:pPr>
        <w:pStyle w:val="24"/>
        <w:snapToGrid w:val="0"/>
        <w:spacing w:before="120" w:after="120"/>
        <w:rPr>
          <w:rFonts w:hAnsi="宋体"/>
          <w:sz w:val="22"/>
          <w:szCs w:val="22"/>
        </w:rPr>
      </w:pPr>
      <w:r>
        <w:rPr>
          <w:rFonts w:hAnsi="宋体"/>
          <w:b/>
          <w:sz w:val="22"/>
          <w:szCs w:val="22"/>
        </w:rPr>
        <w:t>八、质保期</w:t>
      </w:r>
    </w:p>
    <w:p>
      <w:pPr>
        <w:pStyle w:val="24"/>
        <w:snapToGrid w:val="0"/>
        <w:spacing w:before="120" w:after="120"/>
        <w:ind w:left="376" w:hanging="376" w:hangingChars="171"/>
        <w:rPr>
          <w:rFonts w:hAnsi="宋体"/>
          <w:sz w:val="22"/>
          <w:szCs w:val="22"/>
        </w:rPr>
      </w:pPr>
      <w:r>
        <w:rPr>
          <w:rFonts w:hAnsi="宋体"/>
          <w:sz w:val="22"/>
          <w:szCs w:val="22"/>
        </w:rPr>
        <w:t>8.1 质保期</w:t>
      </w:r>
      <w:r>
        <w:rPr>
          <w:rFonts w:hAnsi="宋体"/>
          <w:sz w:val="22"/>
          <w:szCs w:val="22"/>
          <w:u w:val="single"/>
        </w:rPr>
        <w:t xml:space="preserve">      </w:t>
      </w:r>
      <w:r>
        <w:rPr>
          <w:rFonts w:hAnsi="宋体"/>
          <w:sz w:val="22"/>
          <w:szCs w:val="22"/>
        </w:rPr>
        <w:t>年。（自交货验收合格之日起计）</w:t>
      </w:r>
    </w:p>
    <w:p>
      <w:pPr>
        <w:pStyle w:val="24"/>
        <w:snapToGrid w:val="0"/>
        <w:spacing w:before="120" w:after="120"/>
        <w:rPr>
          <w:rFonts w:hAnsi="宋体"/>
          <w:b/>
          <w:sz w:val="22"/>
          <w:szCs w:val="22"/>
        </w:rPr>
      </w:pPr>
      <w:r>
        <w:rPr>
          <w:rFonts w:hAnsi="宋体"/>
          <w:b/>
          <w:sz w:val="22"/>
          <w:szCs w:val="22"/>
        </w:rPr>
        <w:t>九、交货期、交货方式及交货地点</w:t>
      </w:r>
    </w:p>
    <w:p>
      <w:pPr>
        <w:pStyle w:val="24"/>
        <w:snapToGrid w:val="0"/>
        <w:spacing w:before="120" w:after="120"/>
        <w:rPr>
          <w:rFonts w:hAnsi="宋体"/>
          <w:b/>
          <w:sz w:val="22"/>
          <w:szCs w:val="22"/>
        </w:rPr>
      </w:pPr>
      <w:r>
        <w:rPr>
          <w:rFonts w:hAnsi="宋体"/>
          <w:bCs/>
          <w:sz w:val="22"/>
          <w:szCs w:val="22"/>
        </w:rPr>
        <w:t>9.1 交货期：</w:t>
      </w:r>
      <w:r>
        <w:rPr>
          <w:rFonts w:hAnsi="宋体"/>
          <w:sz w:val="22"/>
          <w:szCs w:val="22"/>
        </w:rPr>
        <w:t>_________</w:t>
      </w:r>
      <w:r>
        <w:rPr>
          <w:rFonts w:hAnsi="宋体"/>
          <w:bCs/>
          <w:sz w:val="22"/>
          <w:szCs w:val="22"/>
        </w:rPr>
        <w:t>9.2 交货方式：</w:t>
      </w:r>
      <w:r>
        <w:rPr>
          <w:rFonts w:hAnsi="宋体"/>
          <w:sz w:val="22"/>
          <w:szCs w:val="22"/>
        </w:rPr>
        <w:t>_________</w:t>
      </w:r>
      <w:r>
        <w:rPr>
          <w:rFonts w:hAnsi="宋体"/>
          <w:bCs/>
          <w:sz w:val="22"/>
          <w:szCs w:val="22"/>
        </w:rPr>
        <w:t>9.3 交货地点：</w:t>
      </w:r>
      <w:r>
        <w:rPr>
          <w:rFonts w:hAnsi="宋体"/>
          <w:sz w:val="22"/>
          <w:szCs w:val="22"/>
        </w:rPr>
        <w:t>_________</w:t>
      </w:r>
    </w:p>
    <w:p>
      <w:pPr>
        <w:pStyle w:val="24"/>
        <w:snapToGrid w:val="0"/>
        <w:spacing w:before="120" w:after="120"/>
        <w:rPr>
          <w:rFonts w:hAnsi="宋体"/>
          <w:b/>
          <w:sz w:val="22"/>
          <w:szCs w:val="22"/>
        </w:rPr>
      </w:pPr>
      <w:r>
        <w:rPr>
          <w:rFonts w:hAnsi="宋体"/>
          <w:b/>
          <w:sz w:val="22"/>
          <w:szCs w:val="22"/>
        </w:rPr>
        <w:t>十、货款支付</w:t>
      </w:r>
    </w:p>
    <w:p>
      <w:pPr>
        <w:pStyle w:val="24"/>
        <w:snapToGrid w:val="0"/>
        <w:spacing w:before="120" w:after="120"/>
        <w:rPr>
          <w:rFonts w:hAnsi="宋体"/>
          <w:bCs/>
          <w:sz w:val="22"/>
          <w:szCs w:val="22"/>
          <w:highlight w:val="none"/>
        </w:rPr>
      </w:pPr>
      <w:r>
        <w:rPr>
          <w:rFonts w:hAnsi="宋体"/>
          <w:bCs/>
          <w:sz w:val="22"/>
          <w:szCs w:val="22"/>
          <w:highlight w:val="none"/>
        </w:rPr>
        <w:t>10.1</w:t>
      </w:r>
      <w:r>
        <w:rPr>
          <w:rFonts w:hint="eastAsia" w:hAnsi="宋体"/>
          <w:bCs/>
          <w:sz w:val="22"/>
          <w:szCs w:val="22"/>
          <w:highlight w:val="none"/>
        </w:rPr>
        <w:t>自合同签订生效后30天内，全部设备、材料、软件运抵学校工地现场。合同签订后10个工作日内，甲方向乙方支付合同总价20%的预付款；项目验收合格后，乙方向甲方支付项目总金额5%的质保金，甲方在质保金到账10个工作日内向乙方支付除预付款外其他款项。验收合格两年后，无质量及服务问题乙方可申请取回本金。</w:t>
      </w:r>
    </w:p>
    <w:p>
      <w:pPr>
        <w:snapToGrid w:val="0"/>
        <w:spacing w:before="156" w:beforeLines="50" w:after="156" w:afterLines="50"/>
        <w:rPr>
          <w:rFonts w:ascii="宋体" w:hAnsi="宋体" w:eastAsia="仿宋_GB2312"/>
          <w:b/>
          <w:sz w:val="22"/>
          <w:szCs w:val="22"/>
          <w:highlight w:val="none"/>
        </w:rPr>
      </w:pPr>
      <w:r>
        <w:rPr>
          <w:rFonts w:hint="eastAsia" w:ascii="宋体" w:hAnsi="宋体"/>
          <w:b/>
          <w:sz w:val="22"/>
          <w:szCs w:val="22"/>
          <w:highlight w:val="none"/>
        </w:rPr>
        <w:t>十一</w:t>
      </w:r>
      <w:r>
        <w:rPr>
          <w:rFonts w:ascii="宋体" w:hAnsi="宋体"/>
          <w:b/>
          <w:sz w:val="22"/>
          <w:szCs w:val="22"/>
          <w:highlight w:val="none"/>
        </w:rPr>
        <w:t>.</w:t>
      </w:r>
      <w:r>
        <w:rPr>
          <w:rFonts w:hint="eastAsia" w:ascii="宋体" w:hAnsi="宋体"/>
          <w:b/>
          <w:sz w:val="22"/>
          <w:szCs w:val="22"/>
          <w:highlight w:val="none"/>
        </w:rPr>
        <w:t>税费</w:t>
      </w:r>
    </w:p>
    <w:p>
      <w:pPr>
        <w:snapToGrid w:val="0"/>
        <w:spacing w:before="156" w:beforeLines="50" w:after="156" w:afterLines="50"/>
        <w:rPr>
          <w:rFonts w:ascii="宋体" w:hAnsi="宋体" w:eastAsia="仿宋_GB2312"/>
          <w:sz w:val="22"/>
          <w:szCs w:val="22"/>
        </w:rPr>
      </w:pPr>
      <w:r>
        <w:rPr>
          <w:rFonts w:ascii="宋体" w:hAnsi="宋体"/>
          <w:sz w:val="22"/>
          <w:szCs w:val="22"/>
        </w:rPr>
        <w:t>11.1</w:t>
      </w:r>
      <w:r>
        <w:rPr>
          <w:rFonts w:hint="eastAsia" w:ascii="宋体" w:hAnsi="宋体"/>
          <w:sz w:val="22"/>
          <w:szCs w:val="22"/>
        </w:rPr>
        <w:t>本合同执行中相关的一切税费均由乙方负担。</w:t>
      </w:r>
    </w:p>
    <w:p>
      <w:pPr>
        <w:pStyle w:val="24"/>
        <w:snapToGrid w:val="0"/>
        <w:spacing w:before="120" w:after="120"/>
        <w:ind w:left="378" w:hanging="378" w:hangingChars="171"/>
        <w:rPr>
          <w:rFonts w:hAnsi="宋体"/>
          <w:sz w:val="22"/>
          <w:szCs w:val="22"/>
        </w:rPr>
      </w:pPr>
      <w:r>
        <w:rPr>
          <w:rFonts w:hAnsi="宋体"/>
          <w:b/>
          <w:sz w:val="22"/>
          <w:szCs w:val="22"/>
        </w:rPr>
        <w:t>十二、质量保证及售后服务</w:t>
      </w:r>
    </w:p>
    <w:p>
      <w:pPr>
        <w:pStyle w:val="24"/>
        <w:snapToGrid w:val="0"/>
        <w:spacing w:before="120" w:after="120"/>
        <w:ind w:left="376" w:hanging="376" w:hangingChars="171"/>
        <w:rPr>
          <w:rFonts w:hAnsi="宋体"/>
          <w:sz w:val="22"/>
          <w:szCs w:val="22"/>
        </w:rPr>
      </w:pPr>
      <w:r>
        <w:rPr>
          <w:rFonts w:hAnsi="宋体"/>
          <w:sz w:val="22"/>
          <w:szCs w:val="22"/>
        </w:rPr>
        <w:t>12.1 乙方应按招标文件规定的货物性能、技术要求、质量标准向甲方提供未经使用的全新产品。</w:t>
      </w:r>
      <w:bookmarkStart w:id="38" w:name="_GoBack"/>
      <w:bookmarkEnd w:id="38"/>
    </w:p>
    <w:p>
      <w:pPr>
        <w:pStyle w:val="24"/>
        <w:snapToGrid w:val="0"/>
        <w:spacing w:before="120" w:after="120"/>
        <w:ind w:left="440" w:hanging="440" w:hangingChars="200"/>
        <w:rPr>
          <w:rFonts w:hAnsi="宋体"/>
          <w:sz w:val="22"/>
          <w:szCs w:val="22"/>
        </w:rPr>
      </w:pPr>
      <w:r>
        <w:rPr>
          <w:rFonts w:hAnsi="宋体"/>
          <w:sz w:val="22"/>
          <w:szCs w:val="22"/>
        </w:rPr>
        <w:t>12.2 乙方提供的货物在质量期内因货物本身的质量问题发生故障，乙方应负责免费更换。对达不到技术要求者，根据实际情况，经双方协商，可按以下办法处理：</w:t>
      </w:r>
    </w:p>
    <w:p>
      <w:pPr>
        <w:pStyle w:val="24"/>
        <w:snapToGrid w:val="0"/>
        <w:spacing w:before="120" w:after="120"/>
        <w:ind w:firstLine="420"/>
        <w:rPr>
          <w:rFonts w:hAnsi="宋体"/>
          <w:sz w:val="22"/>
          <w:szCs w:val="22"/>
        </w:rPr>
      </w:pPr>
      <w:r>
        <w:rPr>
          <w:rFonts w:hAnsi="宋体"/>
          <w:sz w:val="22"/>
          <w:szCs w:val="22"/>
        </w:rPr>
        <w:t>⑴更换：由乙方承担所发生的全部费用。</w:t>
      </w:r>
    </w:p>
    <w:p>
      <w:pPr>
        <w:pStyle w:val="24"/>
        <w:snapToGrid w:val="0"/>
        <w:spacing w:before="120" w:after="120"/>
        <w:ind w:firstLine="420"/>
        <w:rPr>
          <w:rFonts w:hAnsi="宋体"/>
          <w:sz w:val="22"/>
          <w:szCs w:val="22"/>
        </w:rPr>
      </w:pPr>
      <w:r>
        <w:rPr>
          <w:rFonts w:hAnsi="宋体"/>
          <w:sz w:val="22"/>
          <w:szCs w:val="22"/>
        </w:rPr>
        <w:t>⑵贬值处理：由甲乙双方合议定价。</w:t>
      </w:r>
    </w:p>
    <w:p>
      <w:pPr>
        <w:pStyle w:val="24"/>
        <w:snapToGrid w:val="0"/>
        <w:spacing w:before="120" w:after="120"/>
        <w:ind w:left="420" w:leftChars="200"/>
        <w:rPr>
          <w:rFonts w:hAnsi="宋体"/>
          <w:sz w:val="22"/>
          <w:szCs w:val="22"/>
        </w:rPr>
      </w:pPr>
      <w:r>
        <w:rPr>
          <w:rFonts w:hAnsi="宋体"/>
          <w:sz w:val="22"/>
          <w:szCs w:val="22"/>
        </w:rPr>
        <w:t>⑶退货处理：乙方应退还甲方支付的合同款，同时应承担该货物的直接费用（运输、保险、检验、货款利息及银行手续费等）。</w:t>
      </w:r>
    </w:p>
    <w:p>
      <w:pPr>
        <w:pStyle w:val="24"/>
        <w:snapToGrid w:val="0"/>
        <w:spacing w:before="120" w:after="120"/>
        <w:rPr>
          <w:rFonts w:hAnsi="宋体"/>
          <w:sz w:val="22"/>
          <w:szCs w:val="22"/>
        </w:rPr>
      </w:pPr>
      <w:r>
        <w:rPr>
          <w:rFonts w:hAnsi="宋体"/>
          <w:sz w:val="22"/>
          <w:szCs w:val="22"/>
        </w:rPr>
        <w:t>12.3 如在使用过程中发生质量问题，乙方在接到甲方通知后在_________小时内到达甲方现场。</w:t>
      </w:r>
    </w:p>
    <w:p>
      <w:pPr>
        <w:pStyle w:val="24"/>
        <w:snapToGrid w:val="0"/>
        <w:spacing w:before="120" w:after="120"/>
        <w:rPr>
          <w:rFonts w:hAnsi="宋体"/>
          <w:sz w:val="22"/>
          <w:szCs w:val="22"/>
        </w:rPr>
      </w:pPr>
      <w:r>
        <w:rPr>
          <w:rFonts w:hAnsi="宋体"/>
          <w:sz w:val="22"/>
          <w:szCs w:val="22"/>
        </w:rPr>
        <w:t>12.4 在质保期内，乙方应对货物出现的质量及安全问题负责处理解决并承担一切费用。</w:t>
      </w:r>
    </w:p>
    <w:p>
      <w:pPr>
        <w:pStyle w:val="24"/>
        <w:snapToGrid w:val="0"/>
        <w:spacing w:before="120" w:after="120"/>
        <w:ind w:left="440" w:hanging="440" w:hangingChars="200"/>
        <w:rPr>
          <w:rFonts w:hAnsi="宋体"/>
          <w:sz w:val="22"/>
          <w:szCs w:val="22"/>
        </w:rPr>
      </w:pPr>
      <w:r>
        <w:rPr>
          <w:rFonts w:hAnsi="宋体"/>
          <w:sz w:val="22"/>
          <w:szCs w:val="22"/>
        </w:rPr>
        <w:t>12.5上述的货物免费保修期为</w:t>
      </w:r>
      <w:r>
        <w:rPr>
          <w:rFonts w:hAnsi="宋体"/>
          <w:sz w:val="22"/>
          <w:szCs w:val="22"/>
          <w:u w:val="single"/>
        </w:rPr>
        <w:t xml:space="preserve">     </w:t>
      </w:r>
      <w:r>
        <w:rPr>
          <w:rFonts w:hAnsi="宋体"/>
          <w:sz w:val="22"/>
          <w:szCs w:val="22"/>
        </w:rPr>
        <w:t>年，因人为因素出现的故障不在免费保修范围内。超过保修期的机器设备，终生维修，维修时只收部件成本费。</w:t>
      </w:r>
    </w:p>
    <w:p>
      <w:pPr>
        <w:pStyle w:val="24"/>
        <w:snapToGrid w:val="0"/>
        <w:spacing w:before="120" w:after="120"/>
        <w:rPr>
          <w:rFonts w:hAnsi="宋体"/>
          <w:b/>
          <w:sz w:val="22"/>
          <w:szCs w:val="22"/>
        </w:rPr>
      </w:pPr>
      <w:r>
        <w:rPr>
          <w:rFonts w:hAnsi="宋体"/>
          <w:b/>
          <w:sz w:val="22"/>
          <w:szCs w:val="22"/>
        </w:rPr>
        <w:t>十三、调试和验收</w:t>
      </w:r>
    </w:p>
    <w:p>
      <w:pPr>
        <w:pStyle w:val="24"/>
        <w:snapToGrid w:val="0"/>
        <w:spacing w:before="120" w:after="120"/>
        <w:ind w:left="440" w:hanging="440" w:hangingChars="200"/>
        <w:rPr>
          <w:rFonts w:hAnsi="宋体"/>
          <w:sz w:val="22"/>
          <w:szCs w:val="22"/>
        </w:rPr>
      </w:pPr>
      <w:r>
        <w:rPr>
          <w:rFonts w:hAnsi="宋体"/>
          <w:sz w:val="22"/>
          <w:szCs w:val="22"/>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4"/>
        <w:snapToGrid w:val="0"/>
        <w:spacing w:before="120" w:after="120"/>
        <w:ind w:left="440" w:hanging="440" w:hangingChars="200"/>
        <w:rPr>
          <w:rFonts w:hAnsi="宋体"/>
          <w:sz w:val="22"/>
          <w:szCs w:val="22"/>
        </w:rPr>
      </w:pPr>
      <w:r>
        <w:rPr>
          <w:rFonts w:hAnsi="宋体"/>
          <w:sz w:val="22"/>
          <w:szCs w:val="22"/>
        </w:rPr>
        <w:t>13.2 乙方交货前应对产品作出全面检查和对验收文件进行整理，并列出清单，作为甲方收货验收和使用的技术条件依据，检验的结果应随货物交甲方。</w:t>
      </w:r>
    </w:p>
    <w:p>
      <w:pPr>
        <w:pStyle w:val="24"/>
        <w:snapToGrid w:val="0"/>
        <w:spacing w:before="120" w:after="120"/>
        <w:ind w:left="440" w:hanging="440" w:hangingChars="200"/>
        <w:rPr>
          <w:rFonts w:hAnsi="宋体"/>
          <w:sz w:val="22"/>
          <w:szCs w:val="22"/>
          <w:u w:val="single"/>
        </w:rPr>
      </w:pPr>
      <w:r>
        <w:rPr>
          <w:rFonts w:hAnsi="宋体"/>
          <w:sz w:val="22"/>
          <w:szCs w:val="22"/>
        </w:rPr>
        <w:t>13.3 甲方对乙方提供的货物在使用前进行调试时，乙方需负责安装并培训甲方的使用操作人员，并协助甲方一起调试，直到符合技术要求，甲方才做最终验收。</w:t>
      </w:r>
    </w:p>
    <w:p>
      <w:pPr>
        <w:pStyle w:val="24"/>
        <w:snapToGrid w:val="0"/>
        <w:spacing w:before="120" w:after="120"/>
        <w:ind w:left="440" w:hanging="440" w:hangingChars="200"/>
        <w:rPr>
          <w:rFonts w:hAnsi="宋体"/>
          <w:sz w:val="22"/>
          <w:szCs w:val="22"/>
        </w:rPr>
      </w:pPr>
      <w:r>
        <w:rPr>
          <w:rFonts w:hAnsi="宋体"/>
          <w:sz w:val="22"/>
          <w:szCs w:val="22"/>
        </w:rPr>
        <w:t>13.4 对技术复杂的货物，甲方</w:t>
      </w:r>
      <w:r>
        <w:rPr>
          <w:rFonts w:hint="eastAsia" w:hAnsi="宋体"/>
          <w:sz w:val="22"/>
          <w:szCs w:val="22"/>
        </w:rPr>
        <w:t>可</w:t>
      </w:r>
      <w:r>
        <w:rPr>
          <w:rFonts w:hAnsi="宋体"/>
          <w:sz w:val="22"/>
          <w:szCs w:val="22"/>
        </w:rPr>
        <w:t>请国家认可的专业检测机构参与初步验收及最终验收，并由其出具质量检测报告。</w:t>
      </w:r>
    </w:p>
    <w:p>
      <w:pPr>
        <w:pStyle w:val="24"/>
        <w:snapToGrid w:val="0"/>
        <w:spacing w:before="120" w:after="120"/>
        <w:ind w:left="440" w:hanging="440" w:hangingChars="200"/>
        <w:rPr>
          <w:rFonts w:hAnsi="宋体"/>
          <w:sz w:val="22"/>
          <w:szCs w:val="22"/>
        </w:rPr>
      </w:pPr>
      <w:r>
        <w:rPr>
          <w:rFonts w:hAnsi="宋体"/>
          <w:sz w:val="22"/>
          <w:szCs w:val="22"/>
        </w:rPr>
        <w:t>13.5 验收时乙方必须在现场，验收完毕后作出验收结果报告；验收费用由</w:t>
      </w:r>
      <w:r>
        <w:rPr>
          <w:rFonts w:hint="eastAsia" w:hAnsi="宋体"/>
          <w:sz w:val="22"/>
          <w:szCs w:val="22"/>
        </w:rPr>
        <w:t>甲</w:t>
      </w:r>
      <w:r>
        <w:rPr>
          <w:rFonts w:hAnsi="宋体"/>
          <w:sz w:val="22"/>
          <w:szCs w:val="22"/>
        </w:rPr>
        <w:t>乙</w:t>
      </w:r>
      <w:r>
        <w:rPr>
          <w:rFonts w:hint="eastAsia" w:hAnsi="宋体"/>
          <w:sz w:val="22"/>
          <w:szCs w:val="22"/>
        </w:rPr>
        <w:t>双</w:t>
      </w:r>
      <w:r>
        <w:rPr>
          <w:rFonts w:hAnsi="宋体"/>
          <w:sz w:val="22"/>
          <w:szCs w:val="22"/>
        </w:rPr>
        <w:t>方</w:t>
      </w:r>
      <w:r>
        <w:rPr>
          <w:rFonts w:hint="eastAsia" w:hAnsi="宋体"/>
          <w:sz w:val="22"/>
          <w:szCs w:val="22"/>
        </w:rPr>
        <w:t>协商解决</w:t>
      </w:r>
      <w:r>
        <w:rPr>
          <w:rFonts w:hAnsi="宋体"/>
          <w:sz w:val="22"/>
          <w:szCs w:val="22"/>
        </w:rPr>
        <w:t>。</w:t>
      </w:r>
    </w:p>
    <w:p>
      <w:pPr>
        <w:pStyle w:val="24"/>
        <w:snapToGrid w:val="0"/>
        <w:spacing w:before="120" w:after="120"/>
        <w:rPr>
          <w:rFonts w:hAnsi="宋体"/>
          <w:b/>
          <w:sz w:val="22"/>
          <w:szCs w:val="22"/>
        </w:rPr>
      </w:pPr>
      <w:r>
        <w:rPr>
          <w:rFonts w:hAnsi="宋体"/>
          <w:b/>
          <w:sz w:val="22"/>
          <w:szCs w:val="22"/>
        </w:rPr>
        <w:t>十四、货物包装、发运及运输</w:t>
      </w:r>
    </w:p>
    <w:p>
      <w:pPr>
        <w:pStyle w:val="24"/>
        <w:snapToGrid w:val="0"/>
        <w:spacing w:before="120" w:after="120"/>
        <w:ind w:left="440" w:hanging="440" w:hangingChars="200"/>
        <w:rPr>
          <w:rFonts w:hAnsi="宋体"/>
          <w:sz w:val="22"/>
          <w:szCs w:val="22"/>
        </w:rPr>
      </w:pPr>
      <w:r>
        <w:rPr>
          <w:rFonts w:hAnsi="宋体"/>
          <w:sz w:val="22"/>
          <w:szCs w:val="22"/>
        </w:rPr>
        <w:t>14.1 乙方应在货物发运前对其进行满足运输距离、防潮、防震、防锈和防破损装卸等要求包装，以保证货物安全运达甲方指定地点。</w:t>
      </w:r>
    </w:p>
    <w:p>
      <w:pPr>
        <w:pStyle w:val="24"/>
        <w:snapToGrid w:val="0"/>
        <w:spacing w:before="120" w:after="120"/>
        <w:ind w:left="440" w:hanging="440" w:hangingChars="200"/>
        <w:rPr>
          <w:rFonts w:hAnsi="宋体"/>
          <w:sz w:val="22"/>
          <w:szCs w:val="22"/>
        </w:rPr>
      </w:pPr>
      <w:r>
        <w:rPr>
          <w:rFonts w:hAnsi="宋体"/>
          <w:sz w:val="22"/>
          <w:szCs w:val="22"/>
        </w:rPr>
        <w:t>14.2 使用说明书、质量检验证明书、随配附件和工具以及清单一并附于货物内。</w:t>
      </w:r>
    </w:p>
    <w:p>
      <w:pPr>
        <w:pStyle w:val="24"/>
        <w:snapToGrid w:val="0"/>
        <w:spacing w:before="120" w:after="120"/>
        <w:ind w:left="440" w:hanging="440" w:hangingChars="200"/>
        <w:rPr>
          <w:rFonts w:hAnsi="宋体"/>
          <w:sz w:val="22"/>
          <w:szCs w:val="22"/>
        </w:rPr>
      </w:pPr>
      <w:r>
        <w:rPr>
          <w:rFonts w:hAnsi="宋体"/>
          <w:sz w:val="22"/>
          <w:szCs w:val="22"/>
        </w:rPr>
        <w:t>14.3 乙方在货物发运手续办理完毕后24小时内或货到甲方48小时前通知甲方，以准备接货。</w:t>
      </w:r>
    </w:p>
    <w:p>
      <w:pPr>
        <w:pStyle w:val="24"/>
        <w:snapToGrid w:val="0"/>
        <w:spacing w:before="120" w:after="120"/>
        <w:ind w:left="440" w:hanging="440" w:hangingChars="200"/>
        <w:rPr>
          <w:rFonts w:hAnsi="宋体"/>
          <w:sz w:val="22"/>
          <w:szCs w:val="22"/>
        </w:rPr>
      </w:pPr>
      <w:r>
        <w:rPr>
          <w:rFonts w:hAnsi="宋体"/>
          <w:sz w:val="22"/>
          <w:szCs w:val="22"/>
        </w:rPr>
        <w:t>14.4 货物在交付甲方前发生的风险均由乙方负责。</w:t>
      </w:r>
    </w:p>
    <w:p>
      <w:pPr>
        <w:pStyle w:val="24"/>
        <w:snapToGrid w:val="0"/>
        <w:spacing w:before="156" w:after="156"/>
        <w:ind w:left="440" w:right="26" w:hanging="440" w:hangingChars="200"/>
        <w:rPr>
          <w:rFonts w:hAnsi="宋体"/>
          <w:sz w:val="22"/>
          <w:szCs w:val="22"/>
        </w:rPr>
      </w:pPr>
      <w:r>
        <w:rPr>
          <w:rFonts w:hAnsi="宋体"/>
          <w:sz w:val="22"/>
          <w:szCs w:val="22"/>
        </w:rPr>
        <w:t>14.5 货物在规定的交付期限内由乙方送达甲方指定的地点视为交付，乙方同时需通知甲方货物已送达。</w:t>
      </w:r>
    </w:p>
    <w:p>
      <w:pPr>
        <w:pStyle w:val="24"/>
        <w:snapToGrid w:val="0"/>
        <w:spacing w:before="120" w:after="120"/>
        <w:rPr>
          <w:rFonts w:hAnsi="宋体"/>
          <w:b/>
          <w:sz w:val="22"/>
          <w:szCs w:val="22"/>
        </w:rPr>
      </w:pPr>
      <w:r>
        <w:rPr>
          <w:rFonts w:hAnsi="宋体"/>
          <w:b/>
          <w:sz w:val="22"/>
          <w:szCs w:val="22"/>
        </w:rPr>
        <w:t>十五、违约责任</w:t>
      </w:r>
    </w:p>
    <w:p>
      <w:pPr>
        <w:pStyle w:val="24"/>
        <w:snapToGrid w:val="0"/>
        <w:spacing w:before="120" w:after="120"/>
        <w:ind w:left="376" w:hanging="376" w:hangingChars="171"/>
        <w:rPr>
          <w:rFonts w:hAnsi="宋体"/>
          <w:sz w:val="22"/>
          <w:szCs w:val="22"/>
        </w:rPr>
      </w:pPr>
      <w:r>
        <w:rPr>
          <w:rFonts w:hAnsi="宋体"/>
          <w:sz w:val="22"/>
          <w:szCs w:val="22"/>
        </w:rPr>
        <w:t>15.1 甲方无正当理由拒收货物的，甲方向乙方偿付拒收货款总值的百分之五违约金。</w:t>
      </w:r>
    </w:p>
    <w:p>
      <w:pPr>
        <w:pStyle w:val="24"/>
        <w:snapToGrid w:val="0"/>
        <w:spacing w:before="120" w:after="120"/>
        <w:ind w:left="376" w:hanging="376" w:hangingChars="171"/>
        <w:rPr>
          <w:rFonts w:hAnsi="宋体"/>
          <w:sz w:val="22"/>
          <w:szCs w:val="22"/>
        </w:rPr>
      </w:pPr>
      <w:r>
        <w:rPr>
          <w:rFonts w:hAnsi="宋体"/>
          <w:sz w:val="22"/>
          <w:szCs w:val="22"/>
        </w:rPr>
        <w:t>15.2 甲方无故逾期验收和办理货款支付手续的,甲方应按逾期付款总额每日万分之五向乙方支付违约金。</w:t>
      </w:r>
    </w:p>
    <w:p>
      <w:pPr>
        <w:pStyle w:val="24"/>
        <w:snapToGrid w:val="0"/>
        <w:spacing w:before="120" w:after="120"/>
        <w:ind w:left="376" w:hanging="376" w:hangingChars="171"/>
        <w:rPr>
          <w:rFonts w:hAnsi="宋体"/>
          <w:sz w:val="22"/>
          <w:szCs w:val="22"/>
        </w:rPr>
      </w:pPr>
      <w:r>
        <w:rPr>
          <w:rFonts w:hAnsi="宋体"/>
          <w:sz w:val="22"/>
          <w:szCs w:val="22"/>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4"/>
        <w:snapToGrid w:val="0"/>
        <w:spacing w:before="120" w:after="120"/>
        <w:ind w:left="376" w:hanging="376" w:hangingChars="171"/>
        <w:rPr>
          <w:rFonts w:hAnsi="宋体"/>
          <w:sz w:val="22"/>
          <w:szCs w:val="22"/>
        </w:rPr>
      </w:pPr>
      <w:r>
        <w:rPr>
          <w:rFonts w:hAnsi="宋体"/>
          <w:sz w:val="22"/>
          <w:szCs w:val="22"/>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4"/>
        <w:snapToGrid w:val="0"/>
        <w:spacing w:before="120" w:after="120"/>
        <w:rPr>
          <w:rFonts w:hAnsi="宋体"/>
          <w:b/>
          <w:sz w:val="22"/>
          <w:szCs w:val="22"/>
        </w:rPr>
      </w:pPr>
      <w:r>
        <w:rPr>
          <w:rFonts w:hAnsi="宋体"/>
          <w:b/>
          <w:sz w:val="22"/>
          <w:szCs w:val="22"/>
        </w:rPr>
        <w:t>十六、不可抗力事件处理</w:t>
      </w:r>
    </w:p>
    <w:p>
      <w:pPr>
        <w:pStyle w:val="24"/>
        <w:snapToGrid w:val="0"/>
        <w:spacing w:before="120" w:after="120"/>
        <w:ind w:left="440" w:hanging="440" w:hangingChars="200"/>
        <w:rPr>
          <w:rFonts w:hAnsi="宋体"/>
          <w:sz w:val="22"/>
          <w:szCs w:val="22"/>
        </w:rPr>
      </w:pPr>
      <w:r>
        <w:rPr>
          <w:rFonts w:hAnsi="宋体"/>
          <w:sz w:val="22"/>
          <w:szCs w:val="22"/>
        </w:rPr>
        <w:t>16.1 在合同有效期内，任何一方因不可抗力事件导致不能履行合同，则合同履行期可延长，其延长期与不可抗力影响期相同。</w:t>
      </w:r>
    </w:p>
    <w:p>
      <w:pPr>
        <w:pStyle w:val="24"/>
        <w:snapToGrid w:val="0"/>
        <w:spacing w:before="120" w:after="120"/>
        <w:rPr>
          <w:rFonts w:hAnsi="宋体"/>
          <w:sz w:val="22"/>
          <w:szCs w:val="22"/>
        </w:rPr>
      </w:pPr>
      <w:r>
        <w:rPr>
          <w:rFonts w:hAnsi="宋体"/>
          <w:sz w:val="22"/>
          <w:szCs w:val="22"/>
        </w:rPr>
        <w:t>16.2 不可抗力事件发生后，应立即通知对方，并寄送有关权威机构出具的证明。</w:t>
      </w:r>
    </w:p>
    <w:p>
      <w:pPr>
        <w:pStyle w:val="24"/>
        <w:snapToGrid w:val="0"/>
        <w:spacing w:before="120" w:after="120"/>
        <w:rPr>
          <w:rFonts w:hAnsi="宋体"/>
          <w:sz w:val="22"/>
          <w:szCs w:val="22"/>
        </w:rPr>
      </w:pPr>
      <w:r>
        <w:rPr>
          <w:rFonts w:hAnsi="宋体"/>
          <w:sz w:val="22"/>
          <w:szCs w:val="22"/>
        </w:rPr>
        <w:t>16.3 不可抗力事件延续120天以上，双方应通过友好协商，确定是否继续履行合同。</w:t>
      </w:r>
    </w:p>
    <w:p>
      <w:pPr>
        <w:pStyle w:val="24"/>
        <w:snapToGrid w:val="0"/>
        <w:spacing w:before="120" w:after="120"/>
        <w:rPr>
          <w:rFonts w:hAnsi="宋体"/>
          <w:b/>
          <w:sz w:val="22"/>
          <w:szCs w:val="22"/>
        </w:rPr>
      </w:pPr>
      <w:r>
        <w:rPr>
          <w:rFonts w:hAnsi="宋体"/>
          <w:b/>
          <w:sz w:val="22"/>
          <w:szCs w:val="22"/>
        </w:rPr>
        <w:t>十七、诉讼</w:t>
      </w:r>
    </w:p>
    <w:p>
      <w:pPr>
        <w:pStyle w:val="24"/>
        <w:snapToGrid w:val="0"/>
        <w:spacing w:before="120" w:after="120"/>
        <w:ind w:left="440" w:hanging="440" w:hangingChars="200"/>
        <w:rPr>
          <w:rFonts w:hAnsi="宋体"/>
          <w:sz w:val="22"/>
          <w:szCs w:val="22"/>
        </w:rPr>
      </w:pPr>
      <w:r>
        <w:rPr>
          <w:rFonts w:hAnsi="宋体"/>
          <w:sz w:val="22"/>
          <w:szCs w:val="22"/>
        </w:rPr>
        <w:t>17.1 双方在执行合同中所发生的一切争议，应通过协商解决。如协商不成，可向合同签订地法院起诉，合同签订地在此约定为南京市。</w:t>
      </w:r>
    </w:p>
    <w:p>
      <w:pPr>
        <w:pStyle w:val="24"/>
        <w:snapToGrid w:val="0"/>
        <w:spacing w:before="120" w:after="120"/>
        <w:rPr>
          <w:rFonts w:hAnsi="宋体"/>
          <w:b/>
          <w:sz w:val="22"/>
          <w:szCs w:val="22"/>
        </w:rPr>
      </w:pPr>
      <w:r>
        <w:rPr>
          <w:rFonts w:hAnsi="宋体"/>
          <w:b/>
          <w:sz w:val="22"/>
          <w:szCs w:val="22"/>
        </w:rPr>
        <w:t>十八、合同生效及其它</w:t>
      </w:r>
    </w:p>
    <w:p>
      <w:pPr>
        <w:pStyle w:val="24"/>
        <w:snapToGrid w:val="0"/>
        <w:spacing w:before="120" w:after="120"/>
        <w:rPr>
          <w:rFonts w:hAnsi="宋体"/>
          <w:sz w:val="22"/>
          <w:szCs w:val="22"/>
        </w:rPr>
      </w:pPr>
      <w:r>
        <w:rPr>
          <w:rFonts w:hAnsi="宋体"/>
          <w:sz w:val="22"/>
          <w:szCs w:val="22"/>
        </w:rPr>
        <w:t>18.1 合同经双方法定代表人或授权委托代</w:t>
      </w:r>
      <w:r>
        <w:rPr>
          <w:rFonts w:hint="eastAsia" w:hAnsi="宋体"/>
          <w:sz w:val="22"/>
          <w:szCs w:val="22"/>
        </w:rPr>
        <w:t>表</w:t>
      </w:r>
      <w:r>
        <w:rPr>
          <w:rFonts w:hAnsi="宋体"/>
          <w:sz w:val="22"/>
          <w:szCs w:val="22"/>
        </w:rPr>
        <w:t>人签字并加盖单位公章后生效。</w:t>
      </w:r>
    </w:p>
    <w:p>
      <w:pPr>
        <w:pStyle w:val="24"/>
        <w:snapToGrid w:val="0"/>
        <w:spacing w:before="120" w:after="120"/>
        <w:rPr>
          <w:rFonts w:hAnsi="宋体"/>
          <w:sz w:val="22"/>
          <w:szCs w:val="22"/>
        </w:rPr>
      </w:pPr>
      <w:r>
        <w:rPr>
          <w:rFonts w:hAnsi="宋体"/>
          <w:sz w:val="22"/>
          <w:szCs w:val="22"/>
        </w:rPr>
        <w:t>18.2本合同未尽事宜，遵照《合同法》有关条文执行。</w:t>
      </w:r>
    </w:p>
    <w:p>
      <w:pPr>
        <w:pStyle w:val="24"/>
        <w:snapToGrid w:val="0"/>
        <w:spacing w:before="120" w:after="120"/>
        <w:ind w:left="440" w:hanging="440" w:hangingChars="200"/>
        <w:rPr>
          <w:rFonts w:hAnsi="宋体"/>
          <w:sz w:val="22"/>
          <w:szCs w:val="22"/>
        </w:rPr>
      </w:pPr>
      <w:r>
        <w:rPr>
          <w:rFonts w:hAnsi="宋体"/>
          <w:sz w:val="22"/>
          <w:szCs w:val="22"/>
        </w:rPr>
        <w:t>18.</w:t>
      </w:r>
      <w:r>
        <w:rPr>
          <w:rFonts w:hint="eastAsia" w:hAnsi="宋体"/>
          <w:sz w:val="22"/>
          <w:szCs w:val="22"/>
        </w:rPr>
        <w:t>3</w:t>
      </w:r>
      <w:r>
        <w:rPr>
          <w:rFonts w:hAnsi="宋体"/>
          <w:sz w:val="22"/>
          <w:szCs w:val="22"/>
        </w:rPr>
        <w:t xml:space="preserve"> 本合同正本一式</w:t>
      </w:r>
      <w:r>
        <w:rPr>
          <w:rFonts w:hint="eastAsia" w:hAnsi="宋体"/>
          <w:sz w:val="22"/>
          <w:szCs w:val="22"/>
        </w:rPr>
        <w:t>三</w:t>
      </w:r>
      <w:r>
        <w:rPr>
          <w:rFonts w:hAnsi="宋体"/>
          <w:sz w:val="22"/>
          <w:szCs w:val="22"/>
        </w:rPr>
        <w:t>份，具有同等法律效力，甲</w:t>
      </w:r>
      <w:r>
        <w:rPr>
          <w:rFonts w:hint="eastAsia" w:hAnsi="宋体"/>
          <w:sz w:val="22"/>
          <w:szCs w:val="22"/>
        </w:rPr>
        <w:t>方、</w:t>
      </w:r>
      <w:r>
        <w:rPr>
          <w:rFonts w:hAnsi="宋体"/>
          <w:sz w:val="22"/>
          <w:szCs w:val="22"/>
        </w:rPr>
        <w:t>乙方</w:t>
      </w:r>
      <w:r>
        <w:rPr>
          <w:rFonts w:hint="eastAsia" w:hAnsi="宋体"/>
          <w:sz w:val="22"/>
          <w:szCs w:val="22"/>
        </w:rPr>
        <w:t>及财政监管部门</w:t>
      </w:r>
      <w:r>
        <w:rPr>
          <w:rFonts w:hAnsi="宋体"/>
          <w:sz w:val="22"/>
          <w:szCs w:val="22"/>
        </w:rPr>
        <w:t>各执一份。</w:t>
      </w:r>
    </w:p>
    <w:p>
      <w:pPr>
        <w:pStyle w:val="24"/>
        <w:snapToGrid w:val="0"/>
        <w:spacing w:before="120" w:after="120"/>
        <w:ind w:left="440" w:hanging="440" w:hangingChars="200"/>
        <w:rPr>
          <w:rFonts w:hAnsi="宋体"/>
          <w:sz w:val="22"/>
          <w:szCs w:val="22"/>
        </w:rPr>
      </w:pPr>
      <w:r>
        <w:rPr>
          <w:rFonts w:hAnsi="宋体"/>
          <w:sz w:val="22"/>
          <w:szCs w:val="22"/>
        </w:rPr>
        <w:t xml:space="preserve">  甲方：                        乙方： </w:t>
      </w:r>
    </w:p>
    <w:p>
      <w:pPr>
        <w:pStyle w:val="24"/>
        <w:snapToGrid w:val="0"/>
        <w:spacing w:before="120" w:after="120"/>
        <w:rPr>
          <w:rFonts w:hAnsi="宋体"/>
          <w:sz w:val="22"/>
          <w:szCs w:val="22"/>
        </w:rPr>
      </w:pPr>
      <w:r>
        <w:rPr>
          <w:rFonts w:hAnsi="宋体"/>
          <w:sz w:val="22"/>
          <w:szCs w:val="22"/>
        </w:rPr>
        <w:t xml:space="preserve">  地址：                       </w:t>
      </w:r>
      <w:r>
        <w:rPr>
          <w:rFonts w:hint="eastAsia" w:hAnsi="宋体"/>
          <w:sz w:val="22"/>
          <w:szCs w:val="22"/>
        </w:rPr>
        <w:t xml:space="preserve"> </w:t>
      </w:r>
      <w:r>
        <w:rPr>
          <w:rFonts w:hAnsi="宋体"/>
          <w:sz w:val="22"/>
          <w:szCs w:val="22"/>
        </w:rPr>
        <w:t xml:space="preserve">地址： </w:t>
      </w:r>
    </w:p>
    <w:p>
      <w:pPr>
        <w:pStyle w:val="24"/>
        <w:snapToGrid w:val="0"/>
        <w:spacing w:before="120" w:after="120"/>
        <w:rPr>
          <w:rFonts w:hAnsi="宋体"/>
          <w:sz w:val="22"/>
          <w:szCs w:val="22"/>
        </w:rPr>
      </w:pPr>
      <w:r>
        <w:rPr>
          <w:rFonts w:hAnsi="宋体"/>
          <w:sz w:val="22"/>
          <w:szCs w:val="22"/>
        </w:rPr>
        <w:t xml:space="preserve">  法定代表人</w:t>
      </w:r>
      <w:r>
        <w:rPr>
          <w:rFonts w:hint="eastAsia" w:hAnsi="宋体"/>
          <w:sz w:val="22"/>
          <w:szCs w:val="22"/>
        </w:rPr>
        <w:t>或授权代表</w:t>
      </w:r>
      <w:r>
        <w:rPr>
          <w:rFonts w:hAnsi="宋体"/>
          <w:sz w:val="22"/>
          <w:szCs w:val="22"/>
        </w:rPr>
        <w:t>：        法定代表人</w:t>
      </w:r>
      <w:r>
        <w:rPr>
          <w:rFonts w:hint="eastAsia" w:hAnsi="宋体"/>
          <w:sz w:val="22"/>
          <w:szCs w:val="22"/>
        </w:rPr>
        <w:t>或授权代表</w:t>
      </w:r>
      <w:r>
        <w:rPr>
          <w:rFonts w:hAnsi="宋体"/>
          <w:sz w:val="22"/>
          <w:szCs w:val="22"/>
        </w:rPr>
        <w:t>：</w:t>
      </w:r>
    </w:p>
    <w:p>
      <w:pPr>
        <w:pStyle w:val="24"/>
        <w:snapToGrid w:val="0"/>
        <w:spacing w:before="120" w:after="120"/>
        <w:ind w:firstLine="220" w:firstLineChars="100"/>
        <w:rPr>
          <w:sz w:val="20"/>
          <w:szCs w:val="20"/>
        </w:rPr>
      </w:pPr>
      <w:r>
        <w:rPr>
          <w:rFonts w:hint="eastAsia" w:hAnsi="宋体"/>
          <w:sz w:val="22"/>
          <w:szCs w:val="22"/>
        </w:rPr>
        <w:t xml:space="preserve">联系电话：                    联系电话：          </w:t>
      </w:r>
    </w:p>
    <w:p>
      <w:r>
        <w:rPr>
          <w:rFonts w:hint="eastAsia"/>
          <w:sz w:val="20"/>
          <w:szCs w:val="20"/>
        </w:rPr>
        <w:t xml:space="preserve">                                          </w:t>
      </w:r>
      <w:r>
        <w:rPr>
          <w:sz w:val="20"/>
          <w:szCs w:val="20"/>
        </w:rPr>
        <w:t xml:space="preserve">签订日期：      年  </w:t>
      </w:r>
      <w:r>
        <w:rPr>
          <w:rFonts w:hint="eastAsia"/>
          <w:sz w:val="20"/>
          <w:szCs w:val="20"/>
        </w:rPr>
        <w:t xml:space="preserve">  </w:t>
      </w:r>
      <w:r>
        <w:rPr>
          <w:sz w:val="20"/>
          <w:szCs w:val="20"/>
        </w:rPr>
        <w:t xml:space="preserve">月  </w:t>
      </w:r>
      <w:r>
        <w:rPr>
          <w:rFonts w:hint="eastAsia"/>
          <w:sz w:val="20"/>
          <w:szCs w:val="20"/>
        </w:rPr>
        <w:t xml:space="preserve"> </w:t>
      </w:r>
      <w:r>
        <w:rPr>
          <w:sz w:val="20"/>
          <w:szCs w:val="20"/>
        </w:rPr>
        <w:t>日</w:t>
      </w:r>
      <w:bookmarkEnd w:id="25"/>
      <w:bookmarkEnd w:id="26"/>
      <w:bookmarkEnd w:id="27"/>
      <w:bookmarkStart w:id="28" w:name="_Hlt16619369"/>
      <w:bookmarkEnd w:id="28"/>
      <w:bookmarkStart w:id="29" w:name="_Toc120614244"/>
      <w:bookmarkStart w:id="30" w:name="_Toc20823346"/>
      <w:bookmarkStart w:id="31" w:name="_Hlt16619350"/>
      <w:bookmarkStart w:id="32" w:name="_Toc16938590"/>
      <w:r>
        <w:rPr>
          <w:rFonts w:ascii="黑体" w:eastAsia="黑体"/>
          <w:bCs/>
          <w:sz w:val="44"/>
        </w:rPr>
        <w:br w:type="page"/>
      </w:r>
      <w:bookmarkEnd w:id="29"/>
      <w:bookmarkEnd w:id="30"/>
      <w:bookmarkEnd w:id="31"/>
      <w:bookmarkEnd w:id="32"/>
    </w:p>
    <w:p/>
    <w:p>
      <w:pPr>
        <w:pStyle w:val="2"/>
        <w:numPr>
          <w:ilvl w:val="0"/>
          <w:numId w:val="0"/>
        </w:numPr>
        <w:rPr>
          <w:rFonts w:ascii="Arial" w:hAnsi="Arial" w:cs="Arial"/>
        </w:rPr>
      </w:pPr>
      <w:bookmarkStart w:id="33" w:name="_Toc43902853"/>
      <w:r>
        <w:rPr>
          <w:rFonts w:ascii="Arial" w:hAnsi="Arial" w:cs="Arial"/>
        </w:rPr>
        <w:t>第六章 附件</w:t>
      </w:r>
      <w:bookmarkEnd w:id="33"/>
    </w:p>
    <w:p>
      <w:pPr>
        <w:widowControl/>
        <w:adjustRightInd w:val="0"/>
        <w:spacing w:line="240" w:lineRule="atLeast"/>
        <w:jc w:val="left"/>
        <w:rPr>
          <w:rFonts w:ascii="Arial" w:hAnsi="Arial" w:cs="Arial"/>
          <w:b/>
          <w:bCs/>
          <w:szCs w:val="21"/>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jc w:val="center"/>
        <w:rPr>
          <w:rFonts w:ascii="Arial" w:hAnsi="Arial" w:eastAsia="黑体" w:cs="Arial"/>
          <w:sz w:val="20"/>
          <w:szCs w:val="20"/>
        </w:rPr>
      </w:pPr>
      <w:r>
        <w:rPr>
          <w:rFonts w:ascii="Arial" w:hAnsi="Arial" w:eastAsia="黑体" w:cs="Arial"/>
          <w:sz w:val="28"/>
          <w:szCs w:val="28"/>
        </w:rPr>
        <w:t>（项目名称）</w:t>
      </w:r>
    </w:p>
    <w:p>
      <w:pPr>
        <w:jc w:val="center"/>
        <w:rPr>
          <w:rFonts w:ascii="Arial" w:hAnsi="Arial" w:eastAsia="黑体" w:cs="Arial"/>
          <w:sz w:val="20"/>
          <w:szCs w:val="20"/>
        </w:rPr>
      </w:pPr>
    </w:p>
    <w:p>
      <w:pPr>
        <w:rPr>
          <w:rFonts w:ascii="Arial" w:hAnsi="Arial" w:eastAsia="黑体" w:cs="Arial"/>
          <w:sz w:val="20"/>
          <w:szCs w:val="20"/>
        </w:rPr>
      </w:pPr>
    </w:p>
    <w:p>
      <w:pPr>
        <w:jc w:val="center"/>
        <w:rPr>
          <w:rFonts w:ascii="Arial" w:hAnsi="Arial" w:eastAsia="黑体" w:cs="Arial"/>
          <w:sz w:val="44"/>
          <w:szCs w:val="44"/>
        </w:rPr>
      </w:pPr>
      <w:r>
        <w:rPr>
          <w:rFonts w:ascii="Arial" w:hAnsi="Arial" w:eastAsia="黑体" w:cs="Arial"/>
          <w:sz w:val="44"/>
          <w:szCs w:val="44"/>
        </w:rPr>
        <w:t>投标文件</w:t>
      </w: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jc w:val="center"/>
        <w:rPr>
          <w:rFonts w:ascii="Arial" w:hAnsi="Arial" w:eastAsia="黑体" w:cs="Arial"/>
          <w:sz w:val="28"/>
          <w:szCs w:val="28"/>
          <w:u w:val="single"/>
        </w:rPr>
      </w:pPr>
      <w:r>
        <w:rPr>
          <w:rFonts w:ascii="Arial" w:hAnsi="Arial" w:eastAsia="黑体" w:cs="Arial"/>
          <w:sz w:val="28"/>
          <w:szCs w:val="28"/>
        </w:rPr>
        <w:t>投标人：（盖单位章）</w:t>
      </w:r>
    </w:p>
    <w:p>
      <w:pPr>
        <w:jc w:val="center"/>
        <w:rPr>
          <w:rFonts w:ascii="Arial" w:hAnsi="Arial" w:eastAsia="黑体" w:cs="Arial"/>
          <w:sz w:val="28"/>
          <w:szCs w:val="28"/>
        </w:rPr>
      </w:pPr>
      <w:r>
        <w:rPr>
          <w:rFonts w:ascii="Arial" w:hAnsi="Arial" w:eastAsia="黑体" w:cs="Arial"/>
          <w:sz w:val="28"/>
          <w:szCs w:val="28"/>
        </w:rPr>
        <w:t>法定代表人或其委托代理人：（签字）</w:t>
      </w:r>
    </w:p>
    <w:p>
      <w:pPr>
        <w:jc w:val="center"/>
        <w:rPr>
          <w:rFonts w:ascii="Arial" w:hAnsi="Arial" w:eastAsia="黑体" w:cs="Arial"/>
          <w:sz w:val="28"/>
          <w:szCs w:val="28"/>
        </w:rPr>
      </w:pPr>
      <w:r>
        <w:rPr>
          <w:rFonts w:ascii="Arial" w:hAnsi="Arial" w:eastAsia="黑体" w:cs="Arial"/>
          <w:sz w:val="28"/>
          <w:szCs w:val="28"/>
        </w:rPr>
        <w:t>年 月  日</w:t>
      </w:r>
    </w:p>
    <w:p>
      <w:pPr>
        <w:widowControl/>
        <w:jc w:val="left"/>
        <w:rPr>
          <w:rFonts w:ascii="Arial" w:hAnsi="Arial" w:eastAsia="黑体" w:cs="Arial"/>
          <w:sz w:val="28"/>
          <w:szCs w:val="28"/>
        </w:rPr>
      </w:pPr>
      <w:r>
        <w:rPr>
          <w:rFonts w:ascii="Arial" w:hAnsi="Arial" w:eastAsia="黑体" w:cs="Arial"/>
          <w:sz w:val="28"/>
          <w:szCs w:val="28"/>
        </w:rPr>
        <w:br w:type="page"/>
      </w:r>
    </w:p>
    <w:p>
      <w:pPr>
        <w:spacing w:before="312" w:beforeLines="100" w:after="312" w:afterLines="100"/>
        <w:jc w:val="center"/>
        <w:rPr>
          <w:rFonts w:ascii="Arial" w:hAnsi="Arial" w:eastAsia="黑体" w:cs="Arial"/>
          <w:sz w:val="32"/>
          <w:szCs w:val="32"/>
        </w:rPr>
      </w:pPr>
      <w:r>
        <w:rPr>
          <w:rFonts w:ascii="Arial" w:hAnsi="Arial" w:eastAsia="黑体" w:cs="Arial"/>
          <w:sz w:val="32"/>
          <w:szCs w:val="32"/>
        </w:rPr>
        <w:t>目录</w:t>
      </w:r>
    </w:p>
    <w:p>
      <w:pPr>
        <w:jc w:val="center"/>
        <w:rPr>
          <w:rFonts w:ascii="Arial" w:hAnsi="Arial" w:eastAsia="黑体" w:cs="Arial"/>
          <w:szCs w:val="21"/>
        </w:rPr>
      </w:pPr>
      <w:r>
        <w:rPr>
          <w:rFonts w:ascii="Arial" w:hAnsi="Arial" w:eastAsia="黑体" w:cs="Arial"/>
          <w:szCs w:val="21"/>
        </w:rPr>
        <w:t>（注：供应商根据附件顺序编制投标文件并制作目录（须生成页码））</w:t>
      </w:r>
    </w:p>
    <w:p>
      <w:pPr>
        <w:spacing w:line="440" w:lineRule="exact"/>
        <w:rPr>
          <w:rFonts w:ascii="Arial" w:hAnsi="Arial" w:cs="Arial"/>
          <w:kern w:val="0"/>
          <w:szCs w:val="21"/>
        </w:rPr>
      </w:pPr>
      <w:r>
        <w:rPr>
          <w:rFonts w:ascii="Arial" w:hAnsi="Arial" w:cs="Arial"/>
        </w:rPr>
        <w:br w:type="page"/>
      </w:r>
      <w:r>
        <w:rPr>
          <w:rFonts w:ascii="Arial" w:hAnsi="Arial" w:cs="Arial"/>
          <w:b/>
          <w:bCs/>
          <w:kern w:val="0"/>
          <w:szCs w:val="21"/>
        </w:rPr>
        <w:t>附件一、投标申请及声明格式</w:t>
      </w:r>
    </w:p>
    <w:p>
      <w:pPr>
        <w:widowControl/>
        <w:shd w:val="clear" w:color="auto" w:fill="FFFFFF"/>
        <w:spacing w:line="360" w:lineRule="auto"/>
        <w:jc w:val="center"/>
        <w:rPr>
          <w:rFonts w:ascii="Arial" w:hAnsi="Arial" w:cs="Arial"/>
          <w:b/>
          <w:kern w:val="0"/>
          <w:szCs w:val="21"/>
        </w:rPr>
      </w:pPr>
      <w:r>
        <w:rPr>
          <w:rFonts w:ascii="Arial" w:hAnsi="Arial" w:cs="Arial"/>
          <w:b/>
          <w:kern w:val="0"/>
          <w:sz w:val="36"/>
          <w:szCs w:val="36"/>
        </w:rPr>
        <w:t>投标申请及声明</w:t>
      </w:r>
    </w:p>
    <w:p>
      <w:pPr>
        <w:widowControl/>
        <w:shd w:val="clear" w:color="auto" w:fill="FFFFFF"/>
        <w:spacing w:line="400" w:lineRule="exact"/>
        <w:rPr>
          <w:rFonts w:ascii="Arial" w:hAnsi="Arial" w:cs="Arial"/>
          <w:kern w:val="0"/>
          <w:szCs w:val="21"/>
        </w:rPr>
      </w:pPr>
      <w:r>
        <w:rPr>
          <w:rFonts w:ascii="Arial" w:hAnsi="Arial" w:cs="Arial"/>
          <w:kern w:val="0"/>
          <w:szCs w:val="21"/>
        </w:rPr>
        <w:t> 致：江苏省设备成套股份有限公司</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根据贵方</w:t>
      </w:r>
      <w:r>
        <w:rPr>
          <w:rFonts w:ascii="Arial" w:hAnsi="Arial" w:cs="Arial"/>
          <w:kern w:val="0"/>
          <w:szCs w:val="21"/>
          <w:u w:val="single"/>
        </w:rPr>
        <w:t>           </w:t>
      </w:r>
      <w:r>
        <w:rPr>
          <w:rFonts w:ascii="Arial" w:hAnsi="Arial" w:cs="Arial"/>
          <w:b/>
          <w:bCs/>
          <w:kern w:val="0"/>
          <w:szCs w:val="21"/>
          <w:u w:val="single"/>
        </w:rPr>
        <w:t>（</w:t>
      </w:r>
      <w:r>
        <w:rPr>
          <w:rFonts w:ascii="Arial" w:hAnsi="Arial" w:cs="Arial"/>
          <w:kern w:val="0"/>
          <w:szCs w:val="21"/>
        </w:rPr>
        <w:t>项目名称） </w:t>
      </w:r>
      <w:r>
        <w:rPr>
          <w:rFonts w:ascii="Arial" w:hAnsi="Arial" w:cs="Arial"/>
          <w:kern w:val="0"/>
          <w:szCs w:val="21"/>
          <w:u w:val="single"/>
        </w:rPr>
        <w:t>       </w:t>
      </w:r>
      <w:r>
        <w:rPr>
          <w:rFonts w:ascii="Arial" w:hAnsi="Arial" w:cs="Arial"/>
          <w:kern w:val="0"/>
          <w:szCs w:val="21"/>
        </w:rPr>
        <w:t>（项目编号）投标邀请，正式授权下述签字人</w:t>
      </w:r>
      <w:r>
        <w:rPr>
          <w:rFonts w:ascii="Arial" w:hAnsi="Arial" w:cs="Arial"/>
          <w:kern w:val="0"/>
          <w:szCs w:val="21"/>
          <w:u w:val="single"/>
        </w:rPr>
        <w:t>           </w:t>
      </w:r>
      <w:r>
        <w:rPr>
          <w:rFonts w:ascii="Arial" w:hAnsi="Arial" w:cs="Arial"/>
          <w:kern w:val="0"/>
          <w:szCs w:val="21"/>
        </w:rPr>
        <w:t>(姓名和职务)代表投标人</w:t>
      </w:r>
      <w:r>
        <w:rPr>
          <w:rFonts w:ascii="Arial" w:hAnsi="Arial" w:cs="Arial"/>
          <w:kern w:val="0"/>
          <w:szCs w:val="21"/>
          <w:u w:val="single"/>
        </w:rPr>
        <w:t>     </w:t>
      </w:r>
      <w:r>
        <w:rPr>
          <w:rFonts w:ascii="Arial" w:hAnsi="Arial" w:cs="Arial"/>
          <w:kern w:val="0"/>
          <w:szCs w:val="21"/>
        </w:rPr>
        <w:t>（投标人名称），提交投标文件。</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据此函，签字人兹宣布声明和承诺如下：</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1、</w:t>
      </w:r>
      <w:r>
        <w:rPr>
          <w:rFonts w:ascii="Arial" w:hAnsi="Arial" w:cs="Arial"/>
          <w:b/>
          <w:bCs/>
          <w:kern w:val="0"/>
          <w:szCs w:val="21"/>
        </w:rPr>
        <w:t>我们的资格条件完全符合政府采购法和本次招标要求</w:t>
      </w:r>
      <w:r>
        <w:rPr>
          <w:rFonts w:ascii="Arial" w:hAnsi="Arial" w:cs="Arial"/>
          <w:kern w:val="0"/>
          <w:szCs w:val="21"/>
        </w:rPr>
        <w:t>，我们同意并向贵方提供了与投标有关的所有证据和资料。</w:t>
      </w:r>
    </w:p>
    <w:p>
      <w:pPr>
        <w:widowControl/>
        <w:shd w:val="clear" w:color="auto" w:fill="FFFFFF"/>
        <w:spacing w:line="400" w:lineRule="exact"/>
        <w:ind w:left="1470" w:hanging="1050"/>
        <w:rPr>
          <w:rFonts w:ascii="Arial" w:hAnsi="Arial" w:cs="Arial"/>
          <w:kern w:val="0"/>
          <w:szCs w:val="21"/>
        </w:rPr>
      </w:pPr>
      <w:r>
        <w:rPr>
          <w:rFonts w:ascii="Arial" w:hAnsi="Arial" w:cs="Arial"/>
          <w:kern w:val="0"/>
          <w:szCs w:val="21"/>
        </w:rPr>
        <w:t>2、按招标要求，我们的投标总报价为（大写）</w:t>
      </w:r>
      <w:r>
        <w:rPr>
          <w:rFonts w:ascii="Arial" w:hAnsi="Arial" w:cs="Arial"/>
          <w:b/>
          <w:bCs/>
          <w:kern w:val="0"/>
          <w:szCs w:val="21"/>
          <w:u w:val="single"/>
        </w:rPr>
        <w:t>        </w:t>
      </w:r>
      <w:r>
        <w:rPr>
          <w:rFonts w:ascii="Arial" w:hAnsi="Arial" w:cs="Arial"/>
          <w:kern w:val="0"/>
          <w:szCs w:val="21"/>
        </w:rPr>
        <w:t>元人民币。</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3、本项目交付时间为：</w:t>
      </w:r>
      <w:r>
        <w:rPr>
          <w:rFonts w:ascii="Arial" w:hAnsi="Arial" w:cs="Arial"/>
          <w:kern w:val="0"/>
          <w:szCs w:val="21"/>
          <w:u w:val="thick"/>
        </w:rPr>
        <w:t xml:space="preserve">  满足招标文件要求  </w:t>
      </w:r>
      <w:r>
        <w:rPr>
          <w:rFonts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4、我们已详细阅读全部招标文件及其有效补充文件，我们放弃对招标文件任何误解的权利，提交投标文件后，</w:t>
      </w:r>
      <w:r>
        <w:rPr>
          <w:rFonts w:ascii="Arial" w:hAnsi="Arial" w:cs="Arial"/>
          <w:b/>
          <w:bCs/>
          <w:kern w:val="0"/>
          <w:szCs w:val="21"/>
        </w:rPr>
        <w:t>不对招标文件本身提出质疑</w:t>
      </w:r>
      <w:r>
        <w:rPr>
          <w:rFonts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5、我们同意从规定的开标日期起遵循本投标文件，并在规定的投标有效期期满之前均具有约束力。</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6、投标截止时间结束后参加投标的投标人不足三家的，或在评标期间出现符合专业条件的供应商或者对招标文件作出实质响应的投标人不足三家情形的，我们酌情决定是否参加</w:t>
      </w:r>
      <w:r>
        <w:rPr>
          <w:rFonts w:ascii="Arial" w:hAnsi="Arial" w:cs="Arial"/>
        </w:rPr>
        <w:t>贵方组织的其他采购方式采购</w:t>
      </w:r>
      <w:r>
        <w:rPr>
          <w:rFonts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9、与本投标有关的正式联系方式为：</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地   址：</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电   话：</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传   真：</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开户银行：</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银行账号：</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投标人授权代表姓名（签字）：</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投标人名称：</w:t>
      </w:r>
      <w:r>
        <w:rPr>
          <w:rFonts w:ascii="Arial" w:hAnsi="Arial" w:cs="Arial"/>
          <w:kern w:val="0"/>
          <w:szCs w:val="21"/>
          <w:u w:val="single"/>
        </w:rPr>
        <w:t>                 </w:t>
      </w:r>
      <w:r>
        <w:rPr>
          <w:rFonts w:ascii="Arial" w:hAnsi="Arial" w:cs="Arial"/>
          <w:kern w:val="0"/>
          <w:szCs w:val="21"/>
        </w:rPr>
        <w:t>（盖章）</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日    期：</w:t>
      </w:r>
      <w:r>
        <w:rPr>
          <w:rFonts w:ascii="Arial" w:hAnsi="Arial" w:cs="Arial"/>
          <w:kern w:val="0"/>
          <w:szCs w:val="21"/>
          <w:u w:val="single"/>
        </w:rPr>
        <w:t>     </w:t>
      </w:r>
      <w:r>
        <w:rPr>
          <w:rFonts w:ascii="Arial" w:hAnsi="Arial" w:cs="Arial"/>
          <w:kern w:val="0"/>
          <w:szCs w:val="21"/>
        </w:rPr>
        <w:t>年</w:t>
      </w:r>
      <w:r>
        <w:rPr>
          <w:rFonts w:ascii="Arial" w:hAnsi="Arial" w:cs="Arial"/>
          <w:kern w:val="0"/>
          <w:szCs w:val="21"/>
          <w:u w:val="single"/>
        </w:rPr>
        <w:t>    </w:t>
      </w:r>
      <w:r>
        <w:rPr>
          <w:rFonts w:ascii="Arial" w:hAnsi="Arial" w:cs="Arial"/>
          <w:kern w:val="0"/>
          <w:szCs w:val="21"/>
        </w:rPr>
        <w:t>月</w:t>
      </w:r>
      <w:r>
        <w:rPr>
          <w:rFonts w:ascii="Arial" w:hAnsi="Arial" w:cs="Arial"/>
          <w:kern w:val="0"/>
          <w:szCs w:val="21"/>
          <w:u w:val="single"/>
        </w:rPr>
        <w:t>    </w:t>
      </w:r>
      <w:r>
        <w:rPr>
          <w:rFonts w:ascii="Arial" w:hAnsi="Arial" w:cs="Arial"/>
          <w:kern w:val="0"/>
          <w:szCs w:val="21"/>
        </w:rPr>
        <w:t>日</w:t>
      </w:r>
    </w:p>
    <w:p>
      <w:pPr>
        <w:widowControl/>
        <w:shd w:val="clear" w:color="auto" w:fill="FFFFFF"/>
        <w:spacing w:line="360" w:lineRule="auto"/>
        <w:rPr>
          <w:rFonts w:ascii="Arial" w:hAnsi="Arial" w:cs="Arial"/>
          <w:kern w:val="0"/>
          <w:szCs w:val="21"/>
        </w:rPr>
      </w:pPr>
      <w:r>
        <w:rPr>
          <w:rFonts w:ascii="Arial" w:hAnsi="Arial" w:cs="Arial"/>
          <w:b/>
          <w:bCs/>
          <w:kern w:val="0"/>
          <w:szCs w:val="21"/>
        </w:rPr>
        <w:br w:type="page"/>
      </w:r>
      <w:r>
        <w:rPr>
          <w:rFonts w:ascii="Arial" w:hAnsi="Arial" w:cs="Arial"/>
          <w:b/>
          <w:bCs/>
          <w:kern w:val="0"/>
          <w:szCs w:val="21"/>
        </w:rPr>
        <w:t>附件二、法定代表人授权委托书格式</w:t>
      </w:r>
    </w:p>
    <w:p>
      <w:pPr>
        <w:widowControl/>
        <w:shd w:val="clear" w:color="auto" w:fill="FFFFFF"/>
        <w:spacing w:line="360" w:lineRule="auto"/>
        <w:ind w:firstLine="720"/>
        <w:jc w:val="center"/>
        <w:rPr>
          <w:rFonts w:ascii="Arial" w:hAnsi="Arial" w:cs="Arial"/>
          <w:kern w:val="0"/>
          <w:sz w:val="36"/>
          <w:szCs w:val="36"/>
        </w:rPr>
      </w:pPr>
    </w:p>
    <w:p>
      <w:pPr>
        <w:widowControl/>
        <w:shd w:val="clear" w:color="auto" w:fill="FFFFFF"/>
        <w:spacing w:line="360" w:lineRule="auto"/>
        <w:ind w:firstLine="720"/>
        <w:jc w:val="center"/>
        <w:rPr>
          <w:rFonts w:ascii="Arial" w:hAnsi="Arial" w:cs="Arial"/>
          <w:b/>
          <w:kern w:val="0"/>
          <w:szCs w:val="21"/>
        </w:rPr>
      </w:pPr>
      <w:r>
        <w:rPr>
          <w:rFonts w:ascii="Arial" w:hAnsi="Arial" w:cs="Arial"/>
          <w:b/>
          <w:kern w:val="0"/>
          <w:sz w:val="36"/>
          <w:szCs w:val="36"/>
        </w:rPr>
        <w:t>法定代表人授权委托书</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致：江苏省设备成套股份有限公司</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本授权书声明：注册于</w:t>
      </w:r>
      <w:r>
        <w:rPr>
          <w:rFonts w:ascii="Arial" w:hAnsi="Arial" w:cs="Arial"/>
          <w:kern w:val="0"/>
          <w:szCs w:val="21"/>
          <w:u w:val="single"/>
        </w:rPr>
        <w:t>              </w:t>
      </w:r>
      <w:r>
        <w:rPr>
          <w:rFonts w:ascii="Arial" w:hAnsi="Arial" w:cs="Arial"/>
          <w:kern w:val="0"/>
          <w:szCs w:val="21"/>
        </w:rPr>
        <w:t>（投标人住址）的</w:t>
      </w:r>
      <w:r>
        <w:rPr>
          <w:rFonts w:ascii="Arial" w:hAnsi="Arial" w:cs="Arial"/>
          <w:kern w:val="0"/>
          <w:szCs w:val="21"/>
          <w:u w:val="single"/>
        </w:rPr>
        <w:t>           </w:t>
      </w:r>
      <w:r>
        <w:rPr>
          <w:rFonts w:ascii="Arial" w:hAnsi="Arial" w:cs="Arial"/>
          <w:kern w:val="0"/>
          <w:szCs w:val="21"/>
        </w:rPr>
        <w:t>（投标人名称）法定代表人</w:t>
      </w:r>
      <w:r>
        <w:rPr>
          <w:rFonts w:ascii="Arial" w:hAnsi="Arial" w:cs="Arial"/>
          <w:kern w:val="0"/>
          <w:szCs w:val="21"/>
          <w:u w:val="single"/>
        </w:rPr>
        <w:t>        </w:t>
      </w:r>
      <w:r>
        <w:rPr>
          <w:rFonts w:ascii="Arial" w:hAnsi="Arial" w:cs="Arial"/>
          <w:kern w:val="0"/>
          <w:szCs w:val="21"/>
        </w:rPr>
        <w:t>（法定代表人姓名、职务）代表本公司授权在下面签字的</w:t>
      </w:r>
      <w:r>
        <w:rPr>
          <w:rFonts w:ascii="Arial" w:hAnsi="Arial" w:cs="Arial"/>
          <w:kern w:val="0"/>
          <w:szCs w:val="21"/>
          <w:u w:val="single"/>
        </w:rPr>
        <w:t>        </w:t>
      </w:r>
      <w:r>
        <w:rPr>
          <w:rFonts w:ascii="Arial" w:hAnsi="Arial" w:cs="Arial"/>
          <w:kern w:val="0"/>
          <w:szCs w:val="21"/>
        </w:rPr>
        <w:t>（投标人代表姓名、职务）为本公司的合法代理人，就贵方组织的</w:t>
      </w:r>
      <w:r>
        <w:rPr>
          <w:rFonts w:ascii="Arial" w:hAnsi="Arial" w:cs="Arial"/>
          <w:b/>
          <w:bCs/>
          <w:kern w:val="0"/>
          <w:szCs w:val="21"/>
          <w:u w:val="single"/>
        </w:rPr>
        <w:t>                   </w:t>
      </w:r>
      <w:r>
        <w:rPr>
          <w:rFonts w:ascii="Arial" w:hAnsi="Arial" w:cs="Arial"/>
          <w:kern w:val="0"/>
          <w:szCs w:val="21"/>
        </w:rPr>
        <w:t>（项目名称），</w:t>
      </w:r>
      <w:r>
        <w:rPr>
          <w:rFonts w:ascii="Arial" w:hAnsi="Arial" w:cs="Arial"/>
          <w:kern w:val="0"/>
          <w:szCs w:val="21"/>
          <w:u w:val="single"/>
        </w:rPr>
        <w:t>        </w:t>
      </w:r>
      <w:r>
        <w:rPr>
          <w:rFonts w:ascii="Arial" w:hAnsi="Arial" w:cs="Arial"/>
          <w:kern w:val="0"/>
          <w:szCs w:val="21"/>
        </w:rPr>
        <w:t>（项目编号）投标，以本公司名义处理一切与之有关的事务。</w:t>
      </w:r>
    </w:p>
    <w:p>
      <w:pPr>
        <w:widowControl/>
        <w:shd w:val="clear" w:color="auto" w:fill="FFFFFF"/>
        <w:spacing w:line="360" w:lineRule="auto"/>
        <w:jc w:val="left"/>
        <w:rPr>
          <w:rFonts w:ascii="Arial" w:hAnsi="Arial" w:cs="Arial"/>
          <w:kern w:val="0"/>
          <w:szCs w:val="21"/>
        </w:rPr>
      </w:pPr>
      <w:r>
        <w:rPr>
          <w:rFonts w:ascii="Arial" w:hAnsi="Arial" w:cs="Arial"/>
          <w:kern w:val="0"/>
          <w:szCs w:val="21"/>
        </w:rPr>
        <w:t>    本授权书于    年  月  日签字生效，特此声明。</w:t>
      </w:r>
    </w:p>
    <w:p>
      <w:pPr>
        <w:widowControl/>
        <w:shd w:val="clear" w:color="auto" w:fill="FFFFFF"/>
        <w:spacing w:line="360" w:lineRule="auto"/>
        <w:jc w:val="left"/>
        <w:rPr>
          <w:rFonts w:ascii="Arial" w:hAnsi="Arial" w:cs="Arial"/>
          <w:kern w:val="0"/>
          <w:szCs w:val="21"/>
        </w:rPr>
      </w:pPr>
      <w:r>
        <w:rPr>
          <w:rFonts w:ascii="Arial" w:hAnsi="Arial" w:cs="Arial"/>
          <w:kern w:val="0"/>
          <w:szCs w:val="21"/>
        </w:rPr>
        <w:t>    法定代表人签字：</w:t>
      </w:r>
    </w:p>
    <w:p>
      <w:pPr>
        <w:widowControl/>
        <w:shd w:val="clear" w:color="auto" w:fill="FFFFFF"/>
        <w:spacing w:line="360" w:lineRule="auto"/>
        <w:ind w:firstLine="825"/>
        <w:jc w:val="left"/>
        <w:rPr>
          <w:rFonts w:ascii="Arial" w:hAnsi="Arial" w:cs="Arial"/>
          <w:kern w:val="0"/>
          <w:szCs w:val="21"/>
        </w:rPr>
      </w:pPr>
      <w:r>
        <w:rPr>
          <w:rFonts w:ascii="Arial" w:hAnsi="Arial" w:cs="Arial"/>
          <w:kern w:val="0"/>
          <w:szCs w:val="21"/>
        </w:rPr>
        <w:t>授权委托人签字：                   </w:t>
      </w:r>
    </w:p>
    <w:p>
      <w:pPr>
        <w:widowControl/>
        <w:shd w:val="clear" w:color="auto" w:fill="FFFFFF"/>
        <w:spacing w:line="360" w:lineRule="auto"/>
        <w:ind w:firstLine="840" w:firstLineChars="400"/>
        <w:jc w:val="left"/>
        <w:rPr>
          <w:rFonts w:ascii="Arial" w:hAnsi="Arial" w:cs="Arial"/>
          <w:kern w:val="0"/>
          <w:szCs w:val="21"/>
        </w:rPr>
      </w:pPr>
      <w:r>
        <w:rPr>
          <w:rFonts w:ascii="Arial" w:hAnsi="Arial" w:cs="Arial"/>
          <w:kern w:val="0"/>
          <w:szCs w:val="21"/>
        </w:rPr>
        <w:t>日     期：        年    月    日</w:t>
      </w:r>
    </w:p>
    <w:p>
      <w:pPr>
        <w:widowControl/>
        <w:shd w:val="clear" w:color="auto" w:fill="FFFFFF"/>
        <w:spacing w:line="360" w:lineRule="auto"/>
        <w:ind w:firstLine="840" w:firstLineChars="400"/>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委托代理人的身份证的复印件:</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autoSpaceDE w:val="0"/>
        <w:autoSpaceDN w:val="0"/>
        <w:adjustRightInd w:val="0"/>
        <w:spacing w:line="360" w:lineRule="auto"/>
        <w:rPr>
          <w:rFonts w:ascii="Arial" w:hAnsi="Arial" w:cs="Arial"/>
          <w:lang w:val="zh-CN"/>
        </w:rPr>
      </w:pPr>
      <w:r>
        <w:rPr>
          <w:rFonts w:ascii="Arial" w:hAnsi="Arial" w:cs="Arial"/>
          <w:b/>
          <w:bCs/>
          <w:kern w:val="0"/>
          <w:szCs w:val="21"/>
        </w:rPr>
        <w:br w:type="page"/>
      </w:r>
      <w:bookmarkStart w:id="34" w:name="_Toc26810"/>
      <w:r>
        <w:rPr>
          <w:rFonts w:ascii="Arial" w:hAnsi="Arial" w:cs="Arial"/>
          <w:b/>
          <w:bCs/>
          <w:kern w:val="0"/>
          <w:szCs w:val="21"/>
          <w:lang w:val="zh-CN"/>
        </w:rPr>
        <w:t>附件三、报价表</w:t>
      </w:r>
      <w:bookmarkEnd w:id="34"/>
    </w:p>
    <w:p>
      <w:pPr>
        <w:autoSpaceDE w:val="0"/>
        <w:autoSpaceDN w:val="0"/>
        <w:adjustRightInd w:val="0"/>
        <w:rPr>
          <w:rFonts w:ascii="Arial" w:hAnsi="Arial" w:cs="Arial"/>
          <w:b/>
          <w:bCs/>
          <w:lang w:val="zh-CN"/>
        </w:rPr>
      </w:pPr>
    </w:p>
    <w:p>
      <w:pPr>
        <w:jc w:val="center"/>
        <w:rPr>
          <w:rFonts w:ascii="Arial" w:hAnsi="Arial" w:cs="Arial"/>
          <w:b/>
          <w:sz w:val="36"/>
          <w:szCs w:val="36"/>
        </w:rPr>
      </w:pPr>
      <w:r>
        <w:rPr>
          <w:rFonts w:ascii="Arial" w:hAnsi="Arial" w:cs="Arial"/>
          <w:b/>
          <w:sz w:val="36"/>
          <w:szCs w:val="36"/>
        </w:rPr>
        <w:t>开标一览表</w:t>
      </w:r>
    </w:p>
    <w:p>
      <w:pPr>
        <w:widowControl/>
        <w:shd w:val="clear" w:color="auto" w:fill="FFFFFF"/>
        <w:spacing w:line="360" w:lineRule="auto"/>
        <w:jc w:val="center"/>
        <w:rPr>
          <w:rFonts w:ascii="Arial" w:hAnsi="Arial" w:cs="Arial"/>
          <w:kern w:val="0"/>
          <w:sz w:val="24"/>
        </w:rPr>
      </w:pPr>
      <w:r>
        <w:rPr>
          <w:rFonts w:ascii="Arial" w:hAnsi="Arial" w:cs="Arial"/>
          <w:lang w:val="zh-CN"/>
        </w:rPr>
        <w:t xml:space="preserve">               </w:t>
      </w:r>
    </w:p>
    <w:p>
      <w:pPr>
        <w:pStyle w:val="13"/>
        <w:spacing w:line="440" w:lineRule="exact"/>
        <w:ind w:firstLine="474" w:firstLineChars="225"/>
        <w:rPr>
          <w:rFonts w:ascii="Arial" w:hAnsi="Arial" w:cs="Arial"/>
          <w:sz w:val="21"/>
          <w:szCs w:val="21"/>
        </w:rPr>
      </w:pPr>
      <w:r>
        <w:rPr>
          <w:rFonts w:ascii="Arial" w:hAnsi="Arial" w:cs="Arial"/>
          <w:sz w:val="21"/>
          <w:szCs w:val="21"/>
        </w:rPr>
        <w:t>项目名称：                                         项目编号：</w:t>
      </w:r>
    </w:p>
    <w:tbl>
      <w:tblPr>
        <w:tblStyle w:val="43"/>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968"/>
        <w:gridCol w:w="4163"/>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投标保证金</w:t>
            </w:r>
          </w:p>
        </w:tc>
        <w:tc>
          <w:tcPr>
            <w:tcW w:w="5131" w:type="dxa"/>
            <w:gridSpan w:val="2"/>
            <w:vAlign w:val="center"/>
          </w:tcPr>
          <w:p>
            <w:pPr>
              <w:pStyle w:val="13"/>
              <w:spacing w:line="440" w:lineRule="exact"/>
              <w:ind w:firstLine="0"/>
              <w:rPr>
                <w:rFonts w:ascii="Arial" w:hAnsi="Arial" w:cs="Arial"/>
                <w:sz w:val="21"/>
                <w:szCs w:val="21"/>
              </w:rPr>
            </w:pPr>
            <w:r>
              <w:rPr>
                <w:rFonts w:ascii="Arial" w:hAnsi="Arial" w:cs="Arial"/>
                <w:sz w:val="21"/>
                <w:szCs w:val="21"/>
              </w:rPr>
              <w:t xml:space="preserve">金额（大写）：人民币          元整 </w:t>
            </w:r>
          </w:p>
          <w:p>
            <w:pPr>
              <w:pStyle w:val="13"/>
              <w:spacing w:line="440" w:lineRule="exact"/>
              <w:ind w:firstLine="0"/>
              <w:rPr>
                <w:rFonts w:ascii="Arial" w:hAnsi="Arial" w:cs="Arial"/>
                <w:sz w:val="21"/>
                <w:szCs w:val="21"/>
              </w:rPr>
            </w:pPr>
            <w:r>
              <w:rPr>
                <w:rFonts w:ascii="Arial" w:hAnsi="Arial" w:cs="Arial"/>
                <w:sz w:val="21"/>
                <w:szCs w:val="21"/>
              </w:rPr>
              <w:t>形       式：银行电汇</w:t>
            </w:r>
          </w:p>
        </w:tc>
        <w:tc>
          <w:tcPr>
            <w:tcW w:w="1639" w:type="dxa"/>
            <w:vAlign w:val="center"/>
          </w:tcPr>
          <w:p>
            <w:pPr>
              <w:pStyle w:val="13"/>
              <w:spacing w:line="440" w:lineRule="exact"/>
              <w:ind w:firstLine="474" w:firstLineChars="225"/>
              <w:rPr>
                <w:rFonts w:ascii="Arial" w:hAnsi="Arial" w:cs="Arial"/>
                <w:sz w:val="21"/>
                <w:szCs w:val="21"/>
              </w:rPr>
            </w:pPr>
            <w:r>
              <w:rPr>
                <w:rFonts w:ascii="Arial" w:hAnsi="Arial" w:cs="Arial"/>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投标总价</w:t>
            </w:r>
          </w:p>
        </w:tc>
        <w:tc>
          <w:tcPr>
            <w:tcW w:w="968" w:type="dxa"/>
            <w:vAlign w:val="center"/>
          </w:tcPr>
          <w:p>
            <w:pPr>
              <w:pStyle w:val="13"/>
              <w:spacing w:line="440" w:lineRule="exact"/>
              <w:ind w:firstLine="0"/>
              <w:rPr>
                <w:rFonts w:ascii="Arial" w:hAnsi="Arial" w:cs="Arial"/>
                <w:sz w:val="21"/>
                <w:szCs w:val="21"/>
              </w:rPr>
            </w:pPr>
            <w:r>
              <w:rPr>
                <w:rFonts w:ascii="Arial" w:hAnsi="Arial" w:cs="Arial"/>
                <w:sz w:val="21"/>
                <w:szCs w:val="21"/>
              </w:rPr>
              <w:t>合计</w:t>
            </w:r>
          </w:p>
        </w:tc>
        <w:tc>
          <w:tcPr>
            <w:tcW w:w="4163" w:type="dxa"/>
            <w:vAlign w:val="center"/>
          </w:tcPr>
          <w:p>
            <w:pPr>
              <w:pStyle w:val="13"/>
              <w:spacing w:line="440" w:lineRule="exact"/>
              <w:ind w:firstLine="0"/>
              <w:rPr>
                <w:rFonts w:ascii="Arial" w:hAnsi="Arial" w:cs="Arial"/>
                <w:bCs/>
                <w:sz w:val="21"/>
                <w:szCs w:val="21"/>
              </w:rPr>
            </w:pPr>
            <w:r>
              <w:rPr>
                <w:rFonts w:ascii="Arial" w:hAnsi="Arial" w:cs="Arial"/>
                <w:sz w:val="21"/>
                <w:szCs w:val="21"/>
              </w:rPr>
              <w:t xml:space="preserve">小写：人民币              </w:t>
            </w:r>
            <w:r>
              <w:rPr>
                <w:rFonts w:ascii="Arial" w:hAnsi="Arial" w:cs="Arial"/>
                <w:bCs/>
                <w:sz w:val="21"/>
                <w:szCs w:val="21"/>
              </w:rPr>
              <w:t xml:space="preserve">    </w:t>
            </w:r>
          </w:p>
          <w:p>
            <w:pPr>
              <w:pStyle w:val="13"/>
              <w:spacing w:line="440" w:lineRule="exact"/>
              <w:ind w:firstLine="474" w:firstLineChars="225"/>
              <w:rPr>
                <w:rFonts w:ascii="Arial" w:hAnsi="Arial" w:cs="Arial"/>
                <w:sz w:val="21"/>
                <w:szCs w:val="21"/>
              </w:rPr>
            </w:pPr>
          </w:p>
          <w:p>
            <w:pPr>
              <w:pStyle w:val="13"/>
              <w:spacing w:line="440" w:lineRule="exact"/>
              <w:ind w:firstLine="0"/>
              <w:rPr>
                <w:rFonts w:ascii="Arial" w:hAnsi="Arial" w:cs="Arial"/>
                <w:sz w:val="21"/>
                <w:szCs w:val="21"/>
              </w:rPr>
            </w:pPr>
            <w:r>
              <w:rPr>
                <w:rFonts w:ascii="Arial" w:hAnsi="Arial" w:cs="Arial"/>
                <w:sz w:val="21"/>
                <w:szCs w:val="21"/>
              </w:rPr>
              <w:t xml:space="preserve">大写：人民币                     </w:t>
            </w:r>
          </w:p>
        </w:tc>
        <w:tc>
          <w:tcPr>
            <w:tcW w:w="1639" w:type="dxa"/>
            <w:vAlign w:val="center"/>
          </w:tcPr>
          <w:p>
            <w:pPr>
              <w:pStyle w:val="13"/>
              <w:spacing w:line="440" w:lineRule="exact"/>
              <w:ind w:firstLine="0"/>
              <w:rPr>
                <w:rFonts w:ascii="Arial" w:hAnsi="Arial" w:cs="Arial"/>
                <w:bCs/>
                <w:sz w:val="21"/>
                <w:szCs w:val="21"/>
              </w:rPr>
            </w:pPr>
          </w:p>
          <w:p>
            <w:pPr>
              <w:pStyle w:val="13"/>
              <w:spacing w:line="440" w:lineRule="exact"/>
              <w:ind w:firstLine="0"/>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服务时间/交付使用时间</w:t>
            </w:r>
          </w:p>
        </w:tc>
        <w:tc>
          <w:tcPr>
            <w:tcW w:w="5131" w:type="dxa"/>
            <w:gridSpan w:val="2"/>
            <w:vAlign w:val="center"/>
          </w:tcPr>
          <w:p>
            <w:pPr>
              <w:pStyle w:val="13"/>
              <w:tabs>
                <w:tab w:val="left" w:pos="3624"/>
              </w:tabs>
              <w:spacing w:line="440" w:lineRule="exact"/>
              <w:ind w:firstLine="474" w:firstLineChars="225"/>
              <w:rPr>
                <w:rFonts w:ascii="Arial" w:hAnsi="Arial" w:cs="Arial"/>
                <w:sz w:val="21"/>
                <w:szCs w:val="21"/>
                <w:u w:val="single"/>
              </w:rPr>
            </w:pPr>
            <w:r>
              <w:rPr>
                <w:rFonts w:ascii="Arial" w:hAnsi="Arial" w:cs="Arial"/>
                <w:sz w:val="21"/>
                <w:szCs w:val="21"/>
                <w:u w:val="single"/>
              </w:rPr>
              <w:t>满足招标文件要求。</w:t>
            </w:r>
          </w:p>
        </w:tc>
        <w:tc>
          <w:tcPr>
            <w:tcW w:w="1639" w:type="dxa"/>
            <w:vAlign w:val="center"/>
          </w:tcPr>
          <w:p>
            <w:pPr>
              <w:pStyle w:val="13"/>
              <w:spacing w:line="440" w:lineRule="exact"/>
              <w:ind w:firstLine="474" w:firstLineChars="225"/>
              <w:rPr>
                <w:rFonts w:ascii="Arial" w:hAnsi="Arial" w:cs="Arial"/>
                <w:sz w:val="21"/>
                <w:szCs w:val="21"/>
              </w:rPr>
            </w:pPr>
          </w:p>
          <w:p>
            <w:pPr>
              <w:pStyle w:val="13"/>
              <w:spacing w:line="440" w:lineRule="exact"/>
              <w:ind w:firstLine="474" w:firstLineChars="225"/>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投标人是否属于小微型企业</w:t>
            </w:r>
          </w:p>
        </w:tc>
        <w:tc>
          <w:tcPr>
            <w:tcW w:w="5131" w:type="dxa"/>
            <w:gridSpan w:val="2"/>
            <w:vAlign w:val="center"/>
          </w:tcPr>
          <w:p>
            <w:pPr>
              <w:pStyle w:val="13"/>
              <w:spacing w:line="440" w:lineRule="exact"/>
              <w:ind w:firstLine="474" w:firstLineChars="225"/>
              <w:rPr>
                <w:rFonts w:ascii="Arial" w:hAnsi="Arial" w:cs="Arial"/>
                <w:sz w:val="21"/>
                <w:szCs w:val="21"/>
              </w:rPr>
            </w:pPr>
            <w:r>
              <w:rPr>
                <w:rFonts w:ascii="Arial" w:hAnsi="Arial" w:cs="Arial"/>
                <w:sz w:val="21"/>
                <w:szCs w:val="21"/>
                <w:u w:val="single"/>
              </w:rPr>
              <w:t xml:space="preserve">                    </w:t>
            </w:r>
            <w:r>
              <w:rPr>
                <w:rFonts w:ascii="Arial" w:hAnsi="Arial" w:cs="Arial"/>
                <w:sz w:val="21"/>
                <w:szCs w:val="21"/>
              </w:rPr>
              <w:t>（</w:t>
            </w:r>
            <w:r>
              <w:rPr>
                <w:rFonts w:ascii="Arial" w:hAnsi="Arial" w:cs="Arial"/>
                <w:sz w:val="21"/>
                <w:szCs w:val="21"/>
                <w:lang w:val="zh-CN"/>
              </w:rPr>
              <w:t>填写“是”或“否</w:t>
            </w:r>
            <w:r>
              <w:rPr>
                <w:rFonts w:ascii="Arial" w:hAnsi="Arial" w:cs="Arial"/>
                <w:sz w:val="21"/>
                <w:szCs w:val="21"/>
              </w:rPr>
              <w:t>）</w:t>
            </w:r>
          </w:p>
        </w:tc>
        <w:tc>
          <w:tcPr>
            <w:tcW w:w="1639" w:type="dxa"/>
            <w:vAlign w:val="center"/>
          </w:tcPr>
          <w:p>
            <w:pPr>
              <w:pStyle w:val="13"/>
              <w:spacing w:line="440" w:lineRule="exact"/>
              <w:ind w:firstLine="474" w:firstLineChars="225"/>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小微型企业产品金额</w:t>
            </w:r>
          </w:p>
        </w:tc>
        <w:tc>
          <w:tcPr>
            <w:tcW w:w="5131" w:type="dxa"/>
            <w:gridSpan w:val="2"/>
            <w:vAlign w:val="center"/>
          </w:tcPr>
          <w:p>
            <w:pPr>
              <w:pStyle w:val="13"/>
              <w:spacing w:line="440" w:lineRule="exact"/>
              <w:ind w:firstLine="474" w:firstLineChars="225"/>
              <w:rPr>
                <w:rFonts w:ascii="Arial" w:hAnsi="Arial" w:cs="Arial"/>
                <w:sz w:val="21"/>
                <w:szCs w:val="21"/>
              </w:rPr>
            </w:pPr>
            <w:r>
              <w:rPr>
                <w:rFonts w:ascii="Arial" w:hAnsi="Arial" w:cs="Arial"/>
                <w:sz w:val="21"/>
                <w:szCs w:val="21"/>
                <w:u w:val="single"/>
              </w:rPr>
              <w:t xml:space="preserve">           </w:t>
            </w:r>
            <w:r>
              <w:rPr>
                <w:rFonts w:ascii="Arial" w:hAnsi="Arial" w:cs="Arial"/>
                <w:sz w:val="21"/>
                <w:szCs w:val="21"/>
              </w:rPr>
              <w:t>元</w:t>
            </w:r>
          </w:p>
        </w:tc>
        <w:tc>
          <w:tcPr>
            <w:tcW w:w="1639" w:type="dxa"/>
            <w:vAlign w:val="center"/>
          </w:tcPr>
          <w:p>
            <w:pPr>
              <w:pStyle w:val="13"/>
              <w:spacing w:line="440" w:lineRule="exact"/>
              <w:ind w:firstLine="474" w:firstLineChars="225"/>
              <w:rPr>
                <w:rFonts w:ascii="Arial" w:hAnsi="Arial" w:cs="Arial"/>
                <w:sz w:val="21"/>
                <w:szCs w:val="21"/>
              </w:rPr>
            </w:pPr>
          </w:p>
        </w:tc>
      </w:tr>
    </w:tbl>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u w:val="single"/>
        </w:rPr>
      </w:pPr>
      <w:r>
        <w:rPr>
          <w:rFonts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说明：</w:t>
      </w:r>
    </w:p>
    <w:p>
      <w:pPr>
        <w:widowControl/>
        <w:numPr>
          <w:ilvl w:val="0"/>
          <w:numId w:val="12"/>
        </w:numPr>
        <w:shd w:val="clear" w:color="auto" w:fill="FFFFFF"/>
        <w:spacing w:line="360" w:lineRule="auto"/>
        <w:ind w:firstLine="422" w:firstLineChars="200"/>
        <w:jc w:val="left"/>
        <w:rPr>
          <w:rFonts w:ascii="Arial" w:hAnsi="Arial" w:cs="Arial"/>
          <w:b/>
          <w:bCs/>
          <w:kern w:val="0"/>
          <w:szCs w:val="21"/>
        </w:rPr>
      </w:pPr>
      <w:r>
        <w:rPr>
          <w:rFonts w:ascii="Arial" w:hAnsi="Arial" w:cs="Arial"/>
          <w:b/>
          <w:bCs/>
          <w:kern w:val="0"/>
          <w:szCs w:val="21"/>
        </w:rPr>
        <w:t>本项目仅接受一个价格，不得填报有选择性报价方案。若有优惠条款须注明，但不得影响报价，影响产品整体功能。</w:t>
      </w:r>
    </w:p>
    <w:p>
      <w:pPr>
        <w:widowControl/>
        <w:shd w:val="clear" w:color="auto" w:fill="FFFFFF"/>
        <w:spacing w:line="360" w:lineRule="auto"/>
        <w:ind w:firstLine="420"/>
        <w:jc w:val="left"/>
        <w:rPr>
          <w:rFonts w:ascii="Arial" w:hAnsi="Arial" w:cs="Arial"/>
          <w:b/>
          <w:bCs/>
          <w:szCs w:val="21"/>
        </w:rPr>
      </w:pPr>
      <w:r>
        <w:rPr>
          <w:rFonts w:ascii="Arial" w:hAnsi="Arial" w:cs="Arial"/>
          <w:b/>
          <w:bCs/>
          <w:kern w:val="0"/>
          <w:szCs w:val="21"/>
        </w:rPr>
        <w:t>2、“投标人是否属于小微型企业</w:t>
      </w:r>
      <w:r>
        <w:rPr>
          <w:rFonts w:ascii="Arial" w:hAnsi="Arial" w:cs="Arial"/>
          <w:b/>
          <w:bCs/>
          <w:kern w:val="0"/>
          <w:szCs w:val="21"/>
          <w:lang w:val="zh-CN"/>
        </w:rPr>
        <w:t>”栏内填写“是”或“否”。如填写“是”，</w:t>
      </w:r>
      <w:r>
        <w:rPr>
          <w:rFonts w:ascii="Arial" w:hAnsi="Arial" w:cs="Arial"/>
          <w:b/>
          <w:bCs/>
          <w:szCs w:val="21"/>
        </w:rPr>
        <w:t>投标人需提供《中小企业声明函》、《残疾人福利性单位声明函》、《属于监狱企业的证明文件》；如为代理商投标，还需提供投标产品制造商出具的上述文件。</w:t>
      </w:r>
      <w:r>
        <w:rPr>
          <w:rFonts w:ascii="Arial" w:hAnsi="Arial" w:cs="Arial"/>
          <w:b/>
          <w:szCs w:val="21"/>
        </w:rPr>
        <w:t>非小微企业产品不享受价格扣除。</w:t>
      </w:r>
    </w:p>
    <w:p>
      <w:pPr>
        <w:widowControl/>
        <w:shd w:val="clear" w:color="auto" w:fill="FFFFFF"/>
        <w:spacing w:line="360" w:lineRule="auto"/>
        <w:ind w:firstLine="420"/>
        <w:jc w:val="left"/>
        <w:rPr>
          <w:rFonts w:ascii="Arial" w:hAnsi="Arial" w:cs="Arial"/>
          <w:b/>
          <w:bCs/>
          <w:kern w:val="0"/>
          <w:szCs w:val="21"/>
        </w:rPr>
      </w:pPr>
      <w:r>
        <w:rPr>
          <w:rFonts w:ascii="Arial" w:hAnsi="Arial" w:cs="Arial"/>
          <w:b/>
          <w:bCs/>
          <w:szCs w:val="21"/>
        </w:rPr>
        <w:t>如未按要求提供、填写，或相关内容表述不清前后矛盾的，不享受价格扣除</w:t>
      </w:r>
      <w:r>
        <w:rPr>
          <w:rFonts w:ascii="Arial" w:hAnsi="Arial" w:cs="Arial"/>
          <w:b/>
          <w:bCs/>
          <w:kern w:val="0"/>
          <w:szCs w:val="21"/>
        </w:rPr>
        <w:t>。</w:t>
      </w:r>
    </w:p>
    <w:p>
      <w:pPr>
        <w:widowControl/>
        <w:shd w:val="clear" w:color="auto" w:fill="FFFFFF"/>
        <w:spacing w:line="360" w:lineRule="auto"/>
        <w:jc w:val="left"/>
        <w:rPr>
          <w:rFonts w:ascii="Arial" w:hAnsi="Arial" w:cs="Arial"/>
          <w:b/>
          <w:bCs/>
          <w:kern w:val="0"/>
          <w:szCs w:val="21"/>
          <w:lang w:val="zh-CN"/>
        </w:rPr>
      </w:pPr>
      <w:bookmarkStart w:id="35" w:name="_Toc12264"/>
      <w:r>
        <w:rPr>
          <w:rFonts w:ascii="Arial" w:hAnsi="Arial" w:cs="Arial"/>
          <w:b/>
          <w:bCs/>
          <w:kern w:val="0"/>
          <w:szCs w:val="21"/>
          <w:lang w:val="zh-CN"/>
        </w:rPr>
        <w:br w:type="page"/>
      </w:r>
    </w:p>
    <w:p>
      <w:pPr>
        <w:widowControl/>
        <w:shd w:val="clear" w:color="auto" w:fill="FFFFFF"/>
        <w:spacing w:line="360" w:lineRule="auto"/>
        <w:jc w:val="left"/>
        <w:rPr>
          <w:rFonts w:ascii="Arial" w:hAnsi="Arial" w:cs="Arial"/>
          <w:b/>
          <w:bCs/>
          <w:kern w:val="0"/>
          <w:szCs w:val="21"/>
          <w:lang w:val="zh-CN"/>
        </w:rPr>
      </w:pPr>
      <w:r>
        <w:rPr>
          <w:rFonts w:ascii="Arial" w:hAnsi="Arial" w:cs="Arial"/>
          <w:b/>
          <w:bCs/>
          <w:kern w:val="0"/>
          <w:szCs w:val="21"/>
          <w:lang w:val="zh-CN"/>
        </w:rPr>
        <w:t>附件四、分项报价表格式</w:t>
      </w:r>
      <w:bookmarkEnd w:id="35"/>
    </w:p>
    <w:p>
      <w:pPr>
        <w:widowControl/>
        <w:adjustRightInd w:val="0"/>
        <w:spacing w:line="240" w:lineRule="atLeast"/>
        <w:jc w:val="left"/>
        <w:rPr>
          <w:rFonts w:ascii="Arial" w:hAnsi="Arial" w:cs="Arial"/>
          <w:b/>
          <w:bCs/>
          <w:kern w:val="0"/>
          <w:lang w:val="zh-CN"/>
        </w:rPr>
      </w:pPr>
    </w:p>
    <w:p>
      <w:pPr>
        <w:widowControl/>
        <w:shd w:val="clear" w:color="auto" w:fill="FFFFFF"/>
        <w:spacing w:line="360" w:lineRule="auto"/>
        <w:jc w:val="center"/>
        <w:rPr>
          <w:rFonts w:ascii="Arial" w:hAnsi="Arial" w:cs="Arial"/>
          <w:b/>
          <w:kern w:val="0"/>
          <w:sz w:val="36"/>
          <w:szCs w:val="36"/>
        </w:rPr>
      </w:pPr>
      <w:r>
        <w:rPr>
          <w:rFonts w:ascii="Arial" w:hAnsi="Arial" w:cs="Arial"/>
          <w:b/>
          <w:kern w:val="0"/>
          <w:sz w:val="36"/>
          <w:szCs w:val="36"/>
        </w:rPr>
        <w:t>分项报价表</w:t>
      </w:r>
    </w:p>
    <w:p>
      <w:pPr>
        <w:widowControl/>
        <w:shd w:val="clear" w:color="auto" w:fill="FFFFFF"/>
        <w:spacing w:line="360" w:lineRule="auto"/>
        <w:jc w:val="left"/>
        <w:rPr>
          <w:rFonts w:ascii="Arial" w:hAnsi="Arial" w:cs="Arial"/>
          <w:kern w:val="0"/>
        </w:rPr>
      </w:pPr>
    </w:p>
    <w:tbl>
      <w:tblPr>
        <w:tblStyle w:val="43"/>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93"/>
        <w:gridCol w:w="1002"/>
        <w:gridCol w:w="1124"/>
        <w:gridCol w:w="709"/>
        <w:gridCol w:w="708"/>
        <w:gridCol w:w="656"/>
        <w:gridCol w:w="8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2" w:type="dxa"/>
            <w:vAlign w:val="center"/>
          </w:tcPr>
          <w:p>
            <w:pPr>
              <w:widowControl/>
              <w:rPr>
                <w:rFonts w:ascii="Arial" w:hAnsi="Arial" w:cs="Arial"/>
                <w:kern w:val="0"/>
                <w:szCs w:val="21"/>
              </w:rPr>
            </w:pPr>
            <w:r>
              <w:rPr>
                <w:rFonts w:ascii="Arial" w:hAnsi="Arial" w:cs="Arial"/>
                <w:kern w:val="0"/>
                <w:szCs w:val="21"/>
              </w:rPr>
              <w:t>序号</w:t>
            </w:r>
          </w:p>
        </w:tc>
        <w:tc>
          <w:tcPr>
            <w:tcW w:w="1193" w:type="dxa"/>
            <w:vAlign w:val="center"/>
          </w:tcPr>
          <w:p>
            <w:pPr>
              <w:widowControl/>
              <w:rPr>
                <w:rFonts w:ascii="Arial" w:hAnsi="Arial" w:cs="Arial"/>
                <w:kern w:val="0"/>
                <w:szCs w:val="21"/>
              </w:rPr>
            </w:pPr>
            <w:r>
              <w:rPr>
                <w:rFonts w:ascii="Arial" w:hAnsi="Arial" w:cs="Arial"/>
                <w:kern w:val="0"/>
                <w:szCs w:val="21"/>
              </w:rPr>
              <w:t>分项内容</w:t>
            </w:r>
          </w:p>
        </w:tc>
        <w:tc>
          <w:tcPr>
            <w:tcW w:w="1002" w:type="dxa"/>
            <w:vAlign w:val="center"/>
          </w:tcPr>
          <w:p>
            <w:pPr>
              <w:widowControl/>
              <w:jc w:val="center"/>
              <w:rPr>
                <w:rFonts w:ascii="Arial" w:hAnsi="Arial" w:cs="Arial"/>
                <w:kern w:val="0"/>
                <w:szCs w:val="21"/>
              </w:rPr>
            </w:pPr>
            <w:r>
              <w:rPr>
                <w:rFonts w:ascii="Arial" w:hAnsi="Arial" w:cs="Arial"/>
                <w:kern w:val="0"/>
                <w:szCs w:val="21"/>
              </w:rPr>
              <w:t>制造商名称</w:t>
            </w:r>
          </w:p>
        </w:tc>
        <w:tc>
          <w:tcPr>
            <w:tcW w:w="1124" w:type="dxa"/>
            <w:vAlign w:val="center"/>
          </w:tcPr>
          <w:p>
            <w:pPr>
              <w:widowControl/>
              <w:rPr>
                <w:rFonts w:ascii="Arial" w:hAnsi="Arial" w:cs="Arial"/>
                <w:kern w:val="0"/>
                <w:szCs w:val="21"/>
              </w:rPr>
            </w:pPr>
            <w:r>
              <w:rPr>
                <w:rFonts w:ascii="Arial" w:hAnsi="Arial" w:cs="Arial"/>
                <w:kern w:val="0"/>
                <w:szCs w:val="21"/>
              </w:rPr>
              <w:t>型号规格</w:t>
            </w:r>
          </w:p>
        </w:tc>
        <w:tc>
          <w:tcPr>
            <w:tcW w:w="709" w:type="dxa"/>
            <w:vAlign w:val="center"/>
          </w:tcPr>
          <w:p>
            <w:pPr>
              <w:widowControl/>
              <w:rPr>
                <w:rFonts w:ascii="Arial" w:hAnsi="Arial" w:cs="Arial"/>
                <w:kern w:val="0"/>
                <w:szCs w:val="21"/>
              </w:rPr>
            </w:pPr>
            <w:r>
              <w:rPr>
                <w:rFonts w:ascii="Arial" w:hAnsi="Arial" w:cs="Arial"/>
                <w:kern w:val="0"/>
                <w:szCs w:val="21"/>
              </w:rPr>
              <w:t>单位</w:t>
            </w:r>
          </w:p>
        </w:tc>
        <w:tc>
          <w:tcPr>
            <w:tcW w:w="708" w:type="dxa"/>
            <w:vAlign w:val="center"/>
          </w:tcPr>
          <w:p>
            <w:pPr>
              <w:widowControl/>
              <w:rPr>
                <w:rFonts w:ascii="Arial" w:hAnsi="Arial" w:cs="Arial"/>
                <w:kern w:val="0"/>
                <w:szCs w:val="21"/>
              </w:rPr>
            </w:pPr>
            <w:r>
              <w:rPr>
                <w:rFonts w:ascii="Arial" w:hAnsi="Arial" w:cs="Arial"/>
                <w:kern w:val="0"/>
                <w:szCs w:val="21"/>
              </w:rPr>
              <w:t>数量</w:t>
            </w:r>
          </w:p>
        </w:tc>
        <w:tc>
          <w:tcPr>
            <w:tcW w:w="656" w:type="dxa"/>
            <w:vAlign w:val="center"/>
          </w:tcPr>
          <w:p>
            <w:pPr>
              <w:widowControl/>
              <w:rPr>
                <w:rFonts w:ascii="Arial" w:hAnsi="Arial" w:cs="Arial"/>
                <w:kern w:val="0"/>
                <w:szCs w:val="21"/>
              </w:rPr>
            </w:pPr>
            <w:r>
              <w:rPr>
                <w:rFonts w:ascii="Arial" w:hAnsi="Arial" w:cs="Arial"/>
                <w:kern w:val="0"/>
                <w:szCs w:val="21"/>
              </w:rPr>
              <w:t>单价</w:t>
            </w:r>
          </w:p>
        </w:tc>
        <w:tc>
          <w:tcPr>
            <w:tcW w:w="812" w:type="dxa"/>
            <w:vAlign w:val="center"/>
          </w:tcPr>
          <w:p>
            <w:pPr>
              <w:rPr>
                <w:rFonts w:ascii="Arial" w:hAnsi="Arial" w:cs="Arial"/>
                <w:kern w:val="0"/>
                <w:szCs w:val="21"/>
              </w:rPr>
            </w:pPr>
            <w:r>
              <w:rPr>
                <w:rFonts w:ascii="Arial" w:hAnsi="Arial" w:cs="Arial"/>
                <w:szCs w:val="21"/>
              </w:rPr>
              <w:t>合价</w:t>
            </w:r>
          </w:p>
        </w:tc>
        <w:tc>
          <w:tcPr>
            <w:tcW w:w="1630" w:type="dxa"/>
            <w:vAlign w:val="center"/>
          </w:tcPr>
          <w:p>
            <w:pPr>
              <w:widowControl/>
              <w:rPr>
                <w:rFonts w:ascii="Arial" w:hAnsi="Arial" w:cs="Arial"/>
                <w:kern w:val="0"/>
                <w:szCs w:val="21"/>
              </w:rPr>
            </w:pPr>
            <w:r>
              <w:rPr>
                <w:rFonts w:ascii="Arial" w:hAnsi="Arial" w:cs="Arial"/>
                <w:kern w:val="0"/>
                <w:szCs w:val="21"/>
              </w:rPr>
              <w:t>是否小、微企业产品（货物或服务）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1</w:t>
            </w: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2</w:t>
            </w: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3</w:t>
            </w: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4</w:t>
            </w: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5</w:t>
            </w: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Arial" w:hAnsi="Arial" w:cs="Arial"/>
                <w:kern w:val="0"/>
                <w:szCs w:val="21"/>
              </w:rPr>
            </w:pPr>
            <w:r>
              <w:rPr>
                <w:rFonts w:ascii="Arial" w:hAnsi="Arial" w:cs="Arial"/>
                <w:kern w:val="0"/>
                <w:szCs w:val="21"/>
              </w:rPr>
              <w:t>6</w:t>
            </w:r>
          </w:p>
        </w:tc>
        <w:tc>
          <w:tcPr>
            <w:tcW w:w="1193" w:type="dxa"/>
            <w:vAlign w:val="center"/>
          </w:tcPr>
          <w:p>
            <w:pPr>
              <w:widowControl/>
              <w:rPr>
                <w:rFonts w:ascii="Arial" w:hAnsi="Arial" w:cs="Arial"/>
                <w:kern w:val="0"/>
                <w:szCs w:val="21"/>
              </w:rPr>
            </w:pPr>
            <w:r>
              <w:rPr>
                <w:rFonts w:ascii="Arial" w:hAnsi="Arial" w:cs="Arial"/>
                <w:kern w:val="0"/>
                <w:szCs w:val="21"/>
              </w:rPr>
              <w:t>……</w:t>
            </w: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Arial" w:hAnsi="Arial" w:cs="Arial"/>
                <w:kern w:val="0"/>
                <w:szCs w:val="21"/>
              </w:rPr>
            </w:pP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widowControl/>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Arial" w:hAnsi="Arial" w:cs="Arial"/>
                <w:kern w:val="0"/>
                <w:szCs w:val="21"/>
              </w:rPr>
            </w:pP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Arial" w:hAnsi="Arial" w:cs="Arial"/>
                <w:kern w:val="0"/>
                <w:szCs w:val="21"/>
              </w:rPr>
            </w:pP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Arial" w:hAnsi="Arial" w:cs="Arial"/>
                <w:kern w:val="0"/>
                <w:szCs w:val="21"/>
              </w:rPr>
            </w:pP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Arial" w:hAnsi="Arial" w:cs="Arial"/>
                <w:kern w:val="0"/>
                <w:szCs w:val="21"/>
              </w:rPr>
            </w:pPr>
          </w:p>
        </w:tc>
        <w:tc>
          <w:tcPr>
            <w:tcW w:w="1193" w:type="dxa"/>
            <w:vAlign w:val="center"/>
          </w:tcPr>
          <w:p>
            <w:pPr>
              <w:widowControl/>
              <w:rPr>
                <w:rFonts w:ascii="Arial" w:hAnsi="Arial" w:cs="Arial"/>
                <w:kern w:val="0"/>
                <w:szCs w:val="21"/>
              </w:rPr>
            </w:pPr>
          </w:p>
        </w:tc>
        <w:tc>
          <w:tcPr>
            <w:tcW w:w="1002" w:type="dxa"/>
            <w:vAlign w:val="center"/>
          </w:tcPr>
          <w:p>
            <w:pPr>
              <w:widowControl/>
              <w:rPr>
                <w:rFonts w:ascii="Arial" w:hAnsi="Arial" w:cs="Arial"/>
                <w:kern w:val="0"/>
                <w:szCs w:val="21"/>
              </w:rPr>
            </w:pPr>
          </w:p>
        </w:tc>
        <w:tc>
          <w:tcPr>
            <w:tcW w:w="1124" w:type="dxa"/>
            <w:vAlign w:val="center"/>
          </w:tcPr>
          <w:p>
            <w:pPr>
              <w:widowControl/>
              <w:rPr>
                <w:rFonts w:ascii="Arial" w:hAnsi="Arial" w:cs="Arial"/>
                <w:kern w:val="0"/>
                <w:szCs w:val="21"/>
              </w:rPr>
            </w:pPr>
          </w:p>
        </w:tc>
        <w:tc>
          <w:tcPr>
            <w:tcW w:w="709" w:type="dxa"/>
            <w:vAlign w:val="center"/>
          </w:tcPr>
          <w:p>
            <w:pPr>
              <w:widowControl/>
              <w:rPr>
                <w:rFonts w:ascii="Arial" w:hAnsi="Arial" w:cs="Arial"/>
                <w:kern w:val="0"/>
                <w:szCs w:val="21"/>
              </w:rPr>
            </w:pPr>
          </w:p>
        </w:tc>
        <w:tc>
          <w:tcPr>
            <w:tcW w:w="708" w:type="dxa"/>
            <w:vAlign w:val="center"/>
          </w:tcPr>
          <w:p>
            <w:pPr>
              <w:widowControl/>
              <w:rPr>
                <w:rFonts w:ascii="Arial" w:hAnsi="Arial" w:cs="Arial"/>
                <w:kern w:val="0"/>
                <w:szCs w:val="21"/>
              </w:rPr>
            </w:pPr>
          </w:p>
        </w:tc>
        <w:tc>
          <w:tcPr>
            <w:tcW w:w="656" w:type="dxa"/>
            <w:vAlign w:val="center"/>
          </w:tcPr>
          <w:p>
            <w:pPr>
              <w:widowControl/>
              <w:rPr>
                <w:rFonts w:ascii="Arial" w:hAnsi="Arial" w:cs="Arial"/>
                <w:kern w:val="0"/>
                <w:szCs w:val="21"/>
              </w:rPr>
            </w:pPr>
          </w:p>
        </w:tc>
        <w:tc>
          <w:tcPr>
            <w:tcW w:w="812" w:type="dxa"/>
            <w:vAlign w:val="center"/>
          </w:tcPr>
          <w:p>
            <w:pPr>
              <w:rPr>
                <w:rFonts w:ascii="Arial" w:hAnsi="Arial" w:cs="Arial"/>
                <w:kern w:val="0"/>
                <w:szCs w:val="21"/>
              </w:rPr>
            </w:pPr>
          </w:p>
        </w:tc>
        <w:tc>
          <w:tcPr>
            <w:tcW w:w="1630" w:type="dxa"/>
            <w:vAlign w:val="center"/>
          </w:tcPr>
          <w:p>
            <w:pPr>
              <w:widowControl/>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05" w:type="dxa"/>
            <w:gridSpan w:val="2"/>
            <w:vAlign w:val="center"/>
          </w:tcPr>
          <w:p>
            <w:pPr>
              <w:widowControl/>
              <w:rPr>
                <w:rFonts w:ascii="Arial" w:hAnsi="Arial" w:cs="Arial"/>
                <w:kern w:val="0"/>
                <w:szCs w:val="21"/>
              </w:rPr>
            </w:pPr>
            <w:r>
              <w:rPr>
                <w:rFonts w:ascii="Arial" w:hAnsi="Arial" w:cs="Arial"/>
                <w:kern w:val="0"/>
                <w:szCs w:val="21"/>
              </w:rPr>
              <w:t xml:space="preserve">合计：          </w:t>
            </w:r>
          </w:p>
        </w:tc>
        <w:tc>
          <w:tcPr>
            <w:tcW w:w="6641" w:type="dxa"/>
            <w:gridSpan w:val="7"/>
            <w:vAlign w:val="center"/>
          </w:tcPr>
          <w:p>
            <w:pPr>
              <w:widowControl/>
              <w:ind w:firstLine="1680" w:firstLineChars="800"/>
              <w:rPr>
                <w:rFonts w:ascii="Arial" w:hAnsi="Arial" w:cs="Arial"/>
                <w:kern w:val="0"/>
                <w:szCs w:val="21"/>
              </w:rPr>
            </w:pPr>
            <w:r>
              <w:rPr>
                <w:rFonts w:ascii="Arial" w:hAnsi="Arial" w:cs="Arial"/>
                <w:kern w:val="0"/>
                <w:szCs w:val="21"/>
              </w:rPr>
              <w:t>元(小数点保留两位)</w:t>
            </w:r>
          </w:p>
        </w:tc>
      </w:tr>
    </w:tbl>
    <w:p>
      <w:pPr>
        <w:widowControl/>
        <w:shd w:val="clear" w:color="auto" w:fill="FFFFFF"/>
        <w:spacing w:line="360" w:lineRule="auto"/>
        <w:jc w:val="left"/>
        <w:rPr>
          <w:rFonts w:ascii="Arial" w:hAnsi="Arial" w:cs="Arial"/>
          <w:kern w:val="0"/>
          <w:szCs w:val="21"/>
        </w:rPr>
      </w:pPr>
      <w:r>
        <w:rPr>
          <w:rFonts w:ascii="Arial" w:hAnsi="Arial" w:cs="Arial"/>
          <w:kern w:val="0"/>
          <w:szCs w:val="21"/>
        </w:rPr>
        <w:t>说明：</w:t>
      </w:r>
    </w:p>
    <w:p>
      <w:pPr>
        <w:widowControl/>
        <w:shd w:val="clear" w:color="auto" w:fill="FFFFFF"/>
        <w:spacing w:line="360" w:lineRule="auto"/>
        <w:jc w:val="left"/>
        <w:rPr>
          <w:rFonts w:ascii="Arial" w:hAnsi="Arial" w:cs="Arial"/>
          <w:kern w:val="0"/>
          <w:szCs w:val="21"/>
        </w:rPr>
      </w:pPr>
      <w:r>
        <w:rPr>
          <w:rFonts w:ascii="Arial" w:hAnsi="Arial" w:cs="Arial"/>
          <w:kern w:val="0"/>
          <w:szCs w:val="21"/>
        </w:rPr>
        <w:t>1、如果行数不够，请自行增加。</w:t>
      </w:r>
    </w:p>
    <w:p>
      <w:pPr>
        <w:widowControl/>
        <w:shd w:val="clear" w:color="auto" w:fill="FFFFFF"/>
        <w:spacing w:line="360" w:lineRule="auto"/>
        <w:jc w:val="left"/>
        <w:rPr>
          <w:rFonts w:ascii="Arial" w:hAnsi="Arial" w:cs="Arial"/>
          <w:kern w:val="0"/>
          <w:szCs w:val="21"/>
        </w:rPr>
      </w:pPr>
      <w:r>
        <w:rPr>
          <w:rFonts w:ascii="Arial" w:hAnsi="Arial" w:cs="Arial"/>
          <w:kern w:val="0"/>
          <w:szCs w:val="21"/>
        </w:rPr>
        <w:t>2、未注明小微企业的，不享受价格扣除。</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u w:val="single"/>
        </w:rPr>
      </w:pPr>
      <w:r>
        <w:rPr>
          <w:rFonts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rPr>
      </w:pPr>
      <w:r>
        <w:rPr>
          <w:rFonts w:ascii="Arial" w:hAnsi="Arial" w:cs="Arial"/>
          <w:kern w:val="0"/>
        </w:rPr>
        <w:t xml:space="preserve">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jc w:val="left"/>
        <w:rPr>
          <w:rFonts w:ascii="Arial" w:hAnsi="Arial" w:cs="Arial"/>
          <w:kern w:val="0"/>
          <w:szCs w:val="21"/>
        </w:rPr>
      </w:pPr>
      <w:r>
        <w:rPr>
          <w:rFonts w:ascii="Arial" w:hAnsi="Arial" w:cs="Arial"/>
          <w:kern w:val="0"/>
          <w:szCs w:val="21"/>
        </w:rPr>
        <w:br w:type="page"/>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r>
        <w:rPr>
          <w:rFonts w:ascii="Arial" w:hAnsi="Arial" w:cs="Arial"/>
          <w:b/>
          <w:bCs/>
          <w:kern w:val="0"/>
          <w:szCs w:val="21"/>
        </w:rPr>
        <w:t>附件五、技术规格偏离表格式</w:t>
      </w:r>
    </w:p>
    <w:p>
      <w:pPr>
        <w:widowControl/>
        <w:shd w:val="clear" w:color="auto" w:fill="FFFFFF"/>
        <w:spacing w:line="360" w:lineRule="auto"/>
        <w:ind w:left="435"/>
        <w:jc w:val="left"/>
        <w:rPr>
          <w:rFonts w:ascii="Arial" w:hAnsi="Arial" w:cs="Arial"/>
          <w:kern w:val="0"/>
          <w:szCs w:val="21"/>
        </w:rPr>
      </w:pPr>
      <w:r>
        <w:rPr>
          <w:rFonts w:ascii="Arial" w:hAnsi="Arial" w:cs="Arial"/>
          <w:kern w:val="0"/>
          <w:sz w:val="24"/>
        </w:rPr>
        <w:t> </w:t>
      </w:r>
    </w:p>
    <w:p>
      <w:pPr>
        <w:widowControl/>
        <w:shd w:val="clear" w:color="auto" w:fill="FFFFFF"/>
        <w:spacing w:line="360" w:lineRule="auto"/>
        <w:ind w:left="420"/>
        <w:jc w:val="center"/>
        <w:rPr>
          <w:rFonts w:ascii="Arial" w:hAnsi="Arial" w:cs="Arial"/>
          <w:b/>
          <w:kern w:val="0"/>
          <w:szCs w:val="21"/>
        </w:rPr>
      </w:pPr>
      <w:r>
        <w:rPr>
          <w:rFonts w:ascii="Arial" w:hAnsi="Arial" w:cs="Arial"/>
          <w:b/>
          <w:kern w:val="0"/>
          <w:sz w:val="36"/>
          <w:szCs w:val="36"/>
        </w:rPr>
        <w:t>技术条款偏离表</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tabs>
          <w:tab w:val="left" w:pos="5397"/>
        </w:tabs>
        <w:spacing w:line="360" w:lineRule="auto"/>
        <w:ind w:firstLine="84" w:firstLineChars="40"/>
        <w:jc w:val="left"/>
        <w:rPr>
          <w:rFonts w:ascii="Arial" w:hAnsi="Arial" w:cs="Arial"/>
          <w:kern w:val="0"/>
          <w:szCs w:val="21"/>
        </w:rPr>
      </w:pPr>
      <w:r>
        <w:rPr>
          <w:rFonts w:ascii="Arial" w:hAnsi="Arial" w:cs="Arial"/>
          <w:kern w:val="0"/>
          <w:szCs w:val="21"/>
        </w:rPr>
        <w:t>项目名称：</w:t>
      </w:r>
      <w:r>
        <w:rPr>
          <w:rFonts w:ascii="Arial" w:hAnsi="Arial" w:cs="Arial"/>
          <w:kern w:val="0"/>
          <w:szCs w:val="21"/>
        </w:rPr>
        <w:tab/>
      </w:r>
      <w:r>
        <w:rPr>
          <w:rFonts w:ascii="Arial" w:hAnsi="Arial" w:cs="Arial"/>
          <w:kern w:val="0"/>
          <w:szCs w:val="21"/>
        </w:rPr>
        <w:t>项目编号：  </w:t>
      </w:r>
    </w:p>
    <w:tbl>
      <w:tblPr>
        <w:tblStyle w:val="43"/>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序号</w:t>
            </w:r>
          </w:p>
        </w:tc>
        <w:tc>
          <w:tcPr>
            <w:tcW w:w="1678"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招标文件条目号</w:t>
            </w:r>
          </w:p>
        </w:tc>
        <w:tc>
          <w:tcPr>
            <w:tcW w:w="1931"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招标要求规格</w:t>
            </w:r>
          </w:p>
        </w:tc>
        <w:tc>
          <w:tcPr>
            <w:tcW w:w="3012"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投标响应</w:t>
            </w:r>
          </w:p>
        </w:tc>
        <w:tc>
          <w:tcPr>
            <w:tcW w:w="1246"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ascii="Arial" w:hAnsi="Arial" w:cs="Arial"/>
          <w:kern w:val="0"/>
          <w:szCs w:val="21"/>
        </w:rPr>
        <w:t>说明：如果行数不够，请自行增加。</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rPr>
      </w:pPr>
      <w:r>
        <w:rPr>
          <w:rFonts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b/>
          <w:bCs/>
          <w:kern w:val="0"/>
          <w:szCs w:val="21"/>
        </w:rPr>
        <w:br w:type="page"/>
      </w:r>
      <w:r>
        <w:rPr>
          <w:rFonts w:ascii="Arial" w:hAnsi="Arial" w:cs="Arial"/>
          <w:b/>
          <w:bCs/>
          <w:kern w:val="0"/>
          <w:szCs w:val="21"/>
        </w:rPr>
        <w:t>附件六、商务条款偏离表格式</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left="420"/>
        <w:jc w:val="center"/>
        <w:rPr>
          <w:rFonts w:ascii="Arial" w:hAnsi="Arial" w:cs="Arial"/>
          <w:b/>
          <w:kern w:val="0"/>
          <w:szCs w:val="21"/>
        </w:rPr>
      </w:pPr>
      <w:r>
        <w:rPr>
          <w:rFonts w:ascii="Arial" w:hAnsi="Arial" w:cs="Arial"/>
          <w:b/>
          <w:kern w:val="0"/>
          <w:sz w:val="36"/>
          <w:szCs w:val="36"/>
        </w:rPr>
        <w:t>商务条款偏离表</w:t>
      </w:r>
    </w:p>
    <w:p>
      <w:pPr>
        <w:widowControl/>
        <w:shd w:val="clear" w:color="auto" w:fill="FFFFFF"/>
        <w:spacing w:line="360" w:lineRule="auto"/>
        <w:jc w:val="left"/>
        <w:rPr>
          <w:rFonts w:ascii="Arial" w:hAnsi="Arial" w:cs="Arial"/>
          <w:kern w:val="0"/>
          <w:szCs w:val="21"/>
        </w:rPr>
      </w:pPr>
      <w:r>
        <w:rPr>
          <w:rFonts w:ascii="Arial" w:hAnsi="Arial" w:cs="Arial"/>
          <w:kern w:val="0"/>
          <w:sz w:val="24"/>
        </w:rPr>
        <w:t> </w:t>
      </w:r>
    </w:p>
    <w:p>
      <w:pPr>
        <w:widowControl/>
        <w:tabs>
          <w:tab w:val="left" w:pos="5366"/>
        </w:tabs>
        <w:spacing w:line="360" w:lineRule="auto"/>
        <w:ind w:firstLine="96" w:firstLineChars="46"/>
        <w:jc w:val="left"/>
        <w:rPr>
          <w:rFonts w:ascii="Arial" w:hAnsi="Arial" w:cs="Arial"/>
          <w:kern w:val="0"/>
          <w:szCs w:val="21"/>
        </w:rPr>
      </w:pPr>
      <w:r>
        <w:rPr>
          <w:rFonts w:ascii="Arial" w:hAnsi="Arial" w:cs="Arial"/>
          <w:kern w:val="0"/>
          <w:szCs w:val="21"/>
        </w:rPr>
        <w:t>项目名称：</w:t>
      </w:r>
      <w:r>
        <w:rPr>
          <w:rFonts w:ascii="Arial" w:hAnsi="Arial" w:cs="Arial"/>
          <w:kern w:val="0"/>
          <w:szCs w:val="21"/>
        </w:rPr>
        <w:tab/>
      </w:r>
      <w:r>
        <w:rPr>
          <w:rFonts w:ascii="Arial" w:hAnsi="Arial" w:cs="Arial"/>
          <w:kern w:val="0"/>
          <w:szCs w:val="21"/>
        </w:rPr>
        <w:t>项目编号：         </w:t>
      </w:r>
    </w:p>
    <w:tbl>
      <w:tblPr>
        <w:tblStyle w:val="4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序号</w:t>
            </w:r>
          </w:p>
        </w:tc>
        <w:tc>
          <w:tcPr>
            <w:tcW w:w="1679"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招标文件条目号</w:t>
            </w:r>
          </w:p>
        </w:tc>
        <w:tc>
          <w:tcPr>
            <w:tcW w:w="2488"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招标文件要求的商务条款</w:t>
            </w:r>
          </w:p>
        </w:tc>
        <w:tc>
          <w:tcPr>
            <w:tcW w:w="3004"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投标响应</w:t>
            </w:r>
          </w:p>
        </w:tc>
        <w:tc>
          <w:tcPr>
            <w:tcW w:w="1201" w:type="dxa"/>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ascii="Arial" w:hAnsi="Arial" w:cs="Arial"/>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ascii="Arial" w:hAnsi="Arial" w:cs="Arial"/>
          <w:kern w:val="0"/>
          <w:szCs w:val="21"/>
        </w:rPr>
        <w:t>说明：如果行数不够，请自行增加。</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u w:val="single"/>
        </w:rPr>
      </w:pPr>
      <w:r>
        <w:rPr>
          <w:rFonts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b/>
          <w:szCs w:val="21"/>
          <w:lang w:val="zh-CN"/>
        </w:rPr>
      </w:pPr>
      <w:r>
        <w:rPr>
          <w:rFonts w:ascii="Arial" w:hAnsi="Arial" w:cs="Arial"/>
          <w:b/>
          <w:bCs/>
          <w:kern w:val="0"/>
          <w:szCs w:val="21"/>
        </w:rPr>
        <w:br w:type="page"/>
      </w:r>
      <w:r>
        <w:rPr>
          <w:rFonts w:ascii="Arial" w:hAnsi="Arial" w:cs="Arial"/>
          <w:b/>
          <w:bCs/>
          <w:kern w:val="0"/>
          <w:szCs w:val="21"/>
        </w:rPr>
        <w:t>附件七、</w:t>
      </w:r>
      <w:r>
        <w:rPr>
          <w:rFonts w:ascii="Arial" w:hAnsi="Arial" w:cs="Arial"/>
          <w:b/>
          <w:szCs w:val="21"/>
          <w:lang w:val="zh-CN"/>
        </w:rPr>
        <w:t>技术说明与服务方案</w:t>
      </w:r>
    </w:p>
    <w:p>
      <w:pPr>
        <w:widowControl/>
        <w:shd w:val="clear" w:color="auto" w:fill="FFFFFF"/>
        <w:spacing w:line="360" w:lineRule="auto"/>
        <w:jc w:val="left"/>
        <w:rPr>
          <w:rFonts w:ascii="Arial" w:hAnsi="Arial" w:cs="Arial"/>
          <w:b/>
          <w:szCs w:val="21"/>
          <w:lang w:val="zh-CN"/>
        </w:rPr>
      </w:pPr>
    </w:p>
    <w:p>
      <w:pPr>
        <w:pStyle w:val="180"/>
        <w:snapToGrid w:val="0"/>
        <w:spacing w:before="0" w:after="0"/>
        <w:ind w:firstLine="420" w:firstLineChars="200"/>
        <w:rPr>
          <w:rFonts w:cs="Arial"/>
          <w:kern w:val="2"/>
          <w:sz w:val="21"/>
          <w:szCs w:val="21"/>
        </w:rPr>
      </w:pPr>
      <w:r>
        <w:rPr>
          <w:rFonts w:cs="Arial"/>
          <w:kern w:val="2"/>
          <w:sz w:val="21"/>
          <w:szCs w:val="21"/>
        </w:rPr>
        <w:t>技术方案及服务承诺应根据招标人对项目的要求、评标标准的要求及项目本身的特点编写，内容应包括但不限于以下内容：</w:t>
      </w:r>
    </w:p>
    <w:p>
      <w:pPr>
        <w:pStyle w:val="180"/>
        <w:snapToGrid w:val="0"/>
        <w:spacing w:before="0" w:after="0"/>
        <w:ind w:firstLine="420" w:firstLineChars="200"/>
        <w:rPr>
          <w:rFonts w:cs="Arial"/>
          <w:kern w:val="2"/>
          <w:sz w:val="21"/>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b/>
          <w:bCs/>
          <w:kern w:val="0"/>
          <w:szCs w:val="21"/>
        </w:rPr>
      </w:pPr>
      <w:r>
        <w:rPr>
          <w:rFonts w:ascii="Arial" w:hAnsi="Arial" w:cs="Arial"/>
          <w:b/>
          <w:bCs/>
          <w:kern w:val="0"/>
          <w:szCs w:val="21"/>
        </w:rPr>
        <w:t> </w:t>
      </w:r>
    </w:p>
    <w:p>
      <w:pPr>
        <w:widowControl/>
        <w:adjustRightInd w:val="0"/>
        <w:spacing w:line="460" w:lineRule="atLeast"/>
        <w:rPr>
          <w:rFonts w:ascii="Arial" w:hAnsi="Arial" w:cs="Arial"/>
          <w:b/>
          <w:bCs/>
          <w:kern w:val="0"/>
          <w:sz w:val="24"/>
        </w:rPr>
      </w:pPr>
      <w:r>
        <w:rPr>
          <w:rFonts w:ascii="Arial" w:hAnsi="Arial" w:cs="Arial"/>
        </w:rPr>
        <w:br w:type="page"/>
      </w:r>
      <w:r>
        <w:rPr>
          <w:rFonts w:ascii="Arial" w:hAnsi="Arial" w:cs="Arial"/>
          <w:b/>
          <w:bCs/>
          <w:kern w:val="0"/>
          <w:sz w:val="24"/>
        </w:rPr>
        <w:t>附件八、拟参与本项目服务人员一览表</w:t>
      </w:r>
    </w:p>
    <w:p>
      <w:pPr>
        <w:widowControl/>
        <w:adjustRightInd w:val="0"/>
        <w:spacing w:line="460" w:lineRule="atLeast"/>
        <w:rPr>
          <w:rFonts w:ascii="Arial" w:hAnsi="Arial" w:cs="Arial"/>
          <w:b/>
          <w:bCs/>
          <w:kern w:val="0"/>
          <w:sz w:val="24"/>
        </w:rPr>
      </w:pPr>
    </w:p>
    <w:p>
      <w:pPr>
        <w:widowControl/>
        <w:adjustRightInd w:val="0"/>
        <w:jc w:val="center"/>
        <w:rPr>
          <w:rFonts w:ascii="Arial" w:hAnsi="Arial" w:cs="Arial"/>
          <w:b/>
          <w:bCs/>
          <w:kern w:val="0"/>
          <w:sz w:val="24"/>
        </w:rPr>
      </w:pPr>
      <w:r>
        <w:rPr>
          <w:rFonts w:ascii="Arial" w:hAnsi="Arial" w:cs="Arial"/>
          <w:b/>
          <w:bCs/>
          <w:kern w:val="0"/>
          <w:sz w:val="24"/>
        </w:rPr>
        <w:t>拟参与本项目服务人员一览表</w:t>
      </w:r>
    </w:p>
    <w:p>
      <w:pPr>
        <w:widowControl/>
        <w:adjustRightInd w:val="0"/>
        <w:jc w:val="center"/>
        <w:rPr>
          <w:rFonts w:ascii="Arial" w:hAnsi="Arial" w:cs="Arial"/>
          <w:b/>
          <w:bCs/>
          <w:kern w:val="0"/>
          <w:sz w:val="24"/>
        </w:rPr>
      </w:pPr>
    </w:p>
    <w:p>
      <w:pPr>
        <w:widowControl/>
        <w:adjustRightInd w:val="0"/>
        <w:rPr>
          <w:rFonts w:ascii="Arial" w:hAnsi="Arial" w:cs="Arial"/>
          <w:kern w:val="0"/>
          <w:szCs w:val="21"/>
        </w:rPr>
      </w:pPr>
      <w:r>
        <w:rPr>
          <w:rFonts w:ascii="Arial" w:hAnsi="Arial" w:cs="Arial"/>
          <w:kern w:val="0"/>
          <w:szCs w:val="21"/>
        </w:rPr>
        <w:t>项目名称：                                 项目编号：</w:t>
      </w:r>
    </w:p>
    <w:tbl>
      <w:tblPr>
        <w:tblStyle w:val="43"/>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执业</w:t>
            </w:r>
          </w:p>
          <w:p>
            <w:pPr>
              <w:widowControl/>
              <w:adjustRightInd w:val="0"/>
              <w:jc w:val="center"/>
              <w:rPr>
                <w:rFonts w:ascii="Arial" w:hAnsi="Arial" w:cs="Arial"/>
                <w:b/>
                <w:bCs/>
                <w:kern w:val="0"/>
                <w:szCs w:val="21"/>
              </w:rPr>
            </w:pPr>
            <w:r>
              <w:rPr>
                <w:rFonts w:ascii="Arial" w:hAnsi="Arial" w:cs="Arial"/>
                <w:b/>
                <w:bCs/>
                <w:kern w:val="0"/>
                <w:szCs w:val="21"/>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Arial" w:hAnsi="Arial" w:cs="Arial"/>
                <w:b/>
                <w:bCs/>
                <w:kern w:val="0"/>
                <w:szCs w:val="21"/>
              </w:rPr>
            </w:pPr>
            <w:r>
              <w:rPr>
                <w:rFonts w:ascii="Arial" w:hAnsi="Arial" w:cs="Arial"/>
                <w:b/>
                <w:bCs/>
                <w:kern w:val="0"/>
                <w:szCs w:val="21"/>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u w:val="single"/>
        </w:rPr>
      </w:pPr>
      <w:r>
        <w:rPr>
          <w:rFonts w:ascii="Arial" w:hAnsi="Arial" w:cs="Arial"/>
          <w:kern w:val="0"/>
          <w:szCs w:val="21"/>
        </w:rPr>
        <w:t>法定代表人或授权代表（签字）：</w:t>
      </w:r>
      <w:r>
        <w:rPr>
          <w:rFonts w:ascii="Arial" w:hAnsi="Arial" w:cs="Arial"/>
          <w:kern w:val="0"/>
          <w:szCs w:val="21"/>
          <w:u w:val="single"/>
        </w:rPr>
        <w:t>                              </w:t>
      </w:r>
    </w:p>
    <w:p>
      <w:pPr>
        <w:widowControl/>
        <w:adjustRightInd w:val="0"/>
        <w:rPr>
          <w:rFonts w:ascii="Arial" w:hAnsi="Arial" w:cs="Arial"/>
          <w:kern w:val="0"/>
          <w:szCs w:val="21"/>
        </w:rPr>
      </w:pPr>
    </w:p>
    <w:p>
      <w:pPr>
        <w:widowControl/>
        <w:adjustRightInd w:val="0"/>
        <w:rPr>
          <w:rFonts w:ascii="Arial" w:hAnsi="Arial" w:cs="Arial"/>
          <w:b/>
          <w:bCs/>
          <w:kern w:val="0"/>
          <w:szCs w:val="21"/>
        </w:rPr>
      </w:pPr>
    </w:p>
    <w:p>
      <w:pPr>
        <w:widowControl/>
        <w:adjustRightInd w:val="0"/>
        <w:spacing w:line="360" w:lineRule="auto"/>
        <w:rPr>
          <w:rFonts w:ascii="Arial" w:hAnsi="Arial" w:cs="Arial"/>
          <w:b/>
          <w:bCs/>
          <w:kern w:val="0"/>
          <w:sz w:val="24"/>
        </w:rPr>
      </w:pPr>
      <w:r>
        <w:rPr>
          <w:rFonts w:ascii="Arial" w:hAnsi="Arial" w:cs="Arial"/>
          <w:b/>
          <w:bCs/>
          <w:kern w:val="0"/>
          <w:sz w:val="24"/>
        </w:rPr>
        <w:br w:type="page"/>
      </w:r>
      <w:r>
        <w:rPr>
          <w:rFonts w:ascii="Arial" w:hAnsi="Arial" w:cs="Arial"/>
          <w:b/>
          <w:bCs/>
          <w:kern w:val="0"/>
          <w:sz w:val="24"/>
        </w:rPr>
        <w:t>附件九、 投标人类似业绩情况表</w:t>
      </w:r>
    </w:p>
    <w:p>
      <w:pPr>
        <w:widowControl/>
        <w:adjustRightInd w:val="0"/>
        <w:spacing w:line="360" w:lineRule="auto"/>
        <w:jc w:val="center"/>
        <w:rPr>
          <w:rFonts w:ascii="Arial" w:hAnsi="Arial" w:cs="Arial"/>
          <w:b/>
          <w:bCs/>
          <w:kern w:val="0"/>
          <w:sz w:val="24"/>
        </w:rPr>
      </w:pPr>
    </w:p>
    <w:p>
      <w:pPr>
        <w:widowControl/>
        <w:adjustRightInd w:val="0"/>
        <w:spacing w:line="360" w:lineRule="auto"/>
        <w:jc w:val="center"/>
        <w:rPr>
          <w:rFonts w:ascii="Arial" w:hAnsi="Arial" w:cs="Arial"/>
          <w:b/>
          <w:bCs/>
          <w:kern w:val="0"/>
          <w:sz w:val="24"/>
        </w:rPr>
      </w:pPr>
      <w:r>
        <w:rPr>
          <w:rFonts w:ascii="Arial" w:hAnsi="Arial" w:cs="Arial"/>
          <w:b/>
          <w:bCs/>
          <w:kern w:val="0"/>
          <w:sz w:val="24"/>
        </w:rPr>
        <w:t>投标人近三年类似业绩情况表</w:t>
      </w:r>
    </w:p>
    <w:tbl>
      <w:tblPr>
        <w:tblStyle w:val="43"/>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r>
              <w:rPr>
                <w:rFonts w:ascii="Arial" w:hAnsi="Arial" w:cs="Arial"/>
                <w:kern w:val="0"/>
                <w:szCs w:val="21"/>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ascii="Arial" w:hAnsi="Arial" w:cs="Arial"/>
                <w:kern w:val="0"/>
                <w:szCs w:val="21"/>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ascii="Arial" w:hAnsi="Arial" w:cs="Arial"/>
                <w:kern w:val="0"/>
                <w:szCs w:val="21"/>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ascii="Arial" w:hAnsi="Arial" w:cs="Arial"/>
                <w:kern w:val="0"/>
                <w:szCs w:val="21"/>
              </w:rPr>
              <w:t>项目</w:t>
            </w:r>
          </w:p>
          <w:p>
            <w:pPr>
              <w:widowControl/>
              <w:spacing w:line="400" w:lineRule="atLeast"/>
              <w:jc w:val="center"/>
              <w:rPr>
                <w:rFonts w:ascii="Arial" w:hAnsi="Arial" w:cs="Arial"/>
                <w:kern w:val="0"/>
                <w:szCs w:val="21"/>
              </w:rPr>
            </w:pPr>
            <w:r>
              <w:rPr>
                <w:rFonts w:ascii="Arial" w:hAnsi="Arial" w:cs="Arial"/>
                <w:kern w:val="0"/>
                <w:szCs w:val="21"/>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ascii="Arial" w:hAnsi="Arial" w:cs="Arial"/>
                <w:kern w:val="0"/>
                <w:szCs w:val="21"/>
              </w:rPr>
              <w:t>获奖</w:t>
            </w:r>
          </w:p>
          <w:p>
            <w:pPr>
              <w:widowControl/>
              <w:spacing w:line="400" w:lineRule="atLeast"/>
              <w:jc w:val="center"/>
              <w:rPr>
                <w:rFonts w:ascii="Arial" w:hAnsi="Arial" w:cs="Arial"/>
                <w:kern w:val="0"/>
                <w:szCs w:val="21"/>
              </w:rPr>
            </w:pPr>
            <w:r>
              <w:rPr>
                <w:rFonts w:ascii="Arial" w:hAnsi="Arial" w:cs="Arial"/>
                <w:kern w:val="0"/>
                <w:szCs w:val="21"/>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r>
              <w:rPr>
                <w:rFonts w:ascii="Arial" w:hAnsi="Arial" w:cs="Arial"/>
                <w:kern w:val="0"/>
                <w:szCs w:val="21"/>
              </w:rPr>
              <w:t>签约及服务</w:t>
            </w:r>
          </w:p>
          <w:p>
            <w:pPr>
              <w:widowControl/>
              <w:spacing w:line="400" w:lineRule="atLeast"/>
              <w:jc w:val="center"/>
              <w:rPr>
                <w:rFonts w:ascii="Arial" w:hAnsi="Arial" w:cs="Arial"/>
                <w:kern w:val="0"/>
                <w:szCs w:val="21"/>
              </w:rPr>
            </w:pPr>
            <w:r>
              <w:rPr>
                <w:rFonts w:ascii="Arial" w:hAnsi="Arial" w:cs="Arial"/>
                <w:kern w:val="0"/>
                <w:szCs w:val="21"/>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r>
              <w:rPr>
                <w:rFonts w:ascii="Arial" w:hAnsi="Arial" w:cs="Arial"/>
                <w:kern w:val="0"/>
                <w:szCs w:val="21"/>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r>
              <w:rPr>
                <w:rFonts w:ascii="Arial" w:hAnsi="Arial" w:cs="Arial"/>
                <w:kern w:val="0"/>
                <w:szCs w:val="21"/>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ascii="Arial" w:hAnsi="Arial" w:cs="Arial"/>
          <w:kern w:val="0"/>
          <w:szCs w:val="21"/>
        </w:rPr>
        <w:t>投标单位（盖章）：</w:t>
      </w:r>
      <w:r>
        <w:rPr>
          <w:rFonts w:ascii="Arial" w:hAnsi="Arial" w:cs="Arial"/>
          <w:kern w:val="0"/>
          <w:szCs w:val="21"/>
          <w:u w:val="single"/>
        </w:rPr>
        <w:t>                             </w:t>
      </w:r>
      <w:r>
        <w:rPr>
          <w:rFonts w:ascii="Arial" w:hAnsi="Arial" w:cs="Arial"/>
          <w:kern w:val="0"/>
          <w:szCs w:val="21"/>
        </w:rPr>
        <w:t xml:space="preserve"> </w:t>
      </w:r>
    </w:p>
    <w:p>
      <w:pPr>
        <w:widowControl/>
        <w:shd w:val="clear" w:color="auto" w:fill="FFFFFF"/>
        <w:spacing w:line="360" w:lineRule="auto"/>
        <w:jc w:val="left"/>
        <w:rPr>
          <w:rFonts w:ascii="Arial" w:hAnsi="Arial" w:cs="Arial"/>
          <w:kern w:val="0"/>
          <w:szCs w:val="21"/>
          <w:u w:val="single"/>
        </w:rPr>
      </w:pPr>
      <w:r>
        <w:rPr>
          <w:rFonts w:ascii="Arial" w:hAnsi="Arial" w:cs="Arial"/>
          <w:kern w:val="0"/>
          <w:szCs w:val="21"/>
        </w:rPr>
        <w:t>法定代表人或授权代表（签字）：</w:t>
      </w:r>
      <w:r>
        <w:rPr>
          <w:rFonts w:ascii="Arial" w:hAnsi="Arial" w:cs="Arial"/>
          <w:kern w:val="0"/>
          <w:szCs w:val="21"/>
          <w:u w:val="single"/>
        </w:rPr>
        <w:t>                              </w:t>
      </w:r>
    </w:p>
    <w:p>
      <w:pPr>
        <w:widowControl/>
        <w:adjustRightInd w:val="0"/>
        <w:spacing w:line="360" w:lineRule="auto"/>
        <w:rPr>
          <w:rFonts w:ascii="Arial" w:hAnsi="Arial" w:cs="Arial"/>
          <w:b/>
          <w:bCs/>
          <w:kern w:val="0"/>
          <w:szCs w:val="21"/>
        </w:rPr>
      </w:pPr>
    </w:p>
    <w:p>
      <w:pPr>
        <w:widowControl/>
        <w:adjustRightInd w:val="0"/>
        <w:spacing w:line="360" w:lineRule="auto"/>
        <w:rPr>
          <w:rFonts w:ascii="Arial" w:hAnsi="Arial" w:cs="Arial"/>
          <w:b/>
          <w:bCs/>
          <w:kern w:val="0"/>
          <w:szCs w:val="21"/>
        </w:rPr>
      </w:pPr>
    </w:p>
    <w:p>
      <w:pPr>
        <w:spacing w:line="360" w:lineRule="auto"/>
        <w:rPr>
          <w:rFonts w:ascii="Arial" w:hAnsi="Arial" w:cs="Arial"/>
        </w:rPr>
      </w:pPr>
    </w:p>
    <w:p>
      <w:pPr>
        <w:spacing w:line="360" w:lineRule="auto"/>
        <w:rPr>
          <w:rFonts w:ascii="Arial" w:hAnsi="Arial" w:cs="Arial"/>
          <w:b/>
          <w:bCs/>
        </w:rPr>
      </w:pPr>
      <w:r>
        <w:rPr>
          <w:rFonts w:ascii="Arial" w:hAnsi="Arial" w:cs="Arial"/>
          <w:b/>
        </w:rPr>
        <w:br w:type="page"/>
      </w:r>
      <w:r>
        <w:rPr>
          <w:rFonts w:ascii="Arial" w:hAnsi="Arial" w:cs="Arial"/>
          <w:b/>
        </w:rPr>
        <w:t>附件十</w:t>
      </w:r>
      <w:r>
        <w:rPr>
          <w:rFonts w:ascii="Arial" w:hAnsi="Arial" w:cs="Arial"/>
          <w:b/>
          <w:bCs/>
        </w:rPr>
        <w:t>：企业声明函格式</w:t>
      </w:r>
    </w:p>
    <w:p>
      <w:pPr>
        <w:spacing w:line="360" w:lineRule="auto"/>
        <w:jc w:val="center"/>
        <w:rPr>
          <w:rFonts w:ascii="Arial" w:hAnsi="Arial" w:cs="Arial"/>
          <w:b/>
          <w:bCs/>
          <w:sz w:val="28"/>
        </w:rPr>
      </w:pPr>
      <w:r>
        <w:rPr>
          <w:rFonts w:ascii="Arial" w:hAnsi="Arial" w:cs="Arial"/>
          <w:b/>
          <w:bCs/>
          <w:sz w:val="28"/>
        </w:rPr>
        <w:t>中小企业声明函</w:t>
      </w:r>
    </w:p>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本公司对上述声明的真实性负责。如有虚假，将依法承担相应责任。</w:t>
      </w:r>
    </w:p>
    <w:p>
      <w:pPr>
        <w:widowControl/>
        <w:spacing w:line="440" w:lineRule="exact"/>
        <w:ind w:firstLine="5040" w:firstLineChars="2400"/>
        <w:jc w:val="left"/>
        <w:rPr>
          <w:rFonts w:ascii="Arial" w:hAnsi="Arial" w:cs="Arial"/>
          <w:snapToGrid w:val="0"/>
          <w:kern w:val="0"/>
          <w:szCs w:val="21"/>
        </w:rPr>
      </w:pPr>
      <w:r>
        <w:rPr>
          <w:rFonts w:ascii="Arial" w:hAnsi="Arial" w:cs="Arial"/>
          <w:snapToGrid w:val="0"/>
          <w:kern w:val="0"/>
          <w:szCs w:val="21"/>
        </w:rPr>
        <w:t xml:space="preserve">单位名称（盖章）： </w:t>
      </w:r>
    </w:p>
    <w:p>
      <w:pPr>
        <w:widowControl/>
        <w:spacing w:line="440" w:lineRule="exact"/>
        <w:ind w:firstLine="5040" w:firstLineChars="2400"/>
        <w:jc w:val="left"/>
        <w:rPr>
          <w:rFonts w:ascii="Arial" w:hAnsi="Arial" w:eastAsia="黑体" w:cs="Arial"/>
          <w:bCs/>
          <w:snapToGrid w:val="0"/>
          <w:kern w:val="0"/>
          <w:sz w:val="24"/>
        </w:rPr>
      </w:pPr>
      <w:r>
        <w:rPr>
          <w:rFonts w:ascii="Arial" w:hAnsi="Arial" w:cs="Arial"/>
          <w:snapToGrid w:val="0"/>
          <w:kern w:val="0"/>
          <w:szCs w:val="21"/>
        </w:rPr>
        <w:t>日 期：</w:t>
      </w:r>
    </w:p>
    <w:p>
      <w:pPr>
        <w:spacing w:line="360" w:lineRule="auto"/>
        <w:jc w:val="center"/>
        <w:rPr>
          <w:rFonts w:ascii="Arial" w:hAnsi="Arial" w:cs="Arial"/>
          <w:b/>
          <w:bCs/>
          <w:sz w:val="28"/>
        </w:rPr>
      </w:pPr>
      <w:bookmarkStart w:id="36" w:name="OLE_LINK14"/>
      <w:bookmarkStart w:id="37" w:name="OLE_LINK13"/>
    </w:p>
    <w:p>
      <w:pPr>
        <w:spacing w:line="360" w:lineRule="auto"/>
        <w:jc w:val="center"/>
        <w:rPr>
          <w:rFonts w:ascii="Arial" w:hAnsi="Arial" w:cs="Arial"/>
          <w:b/>
          <w:bCs/>
          <w:sz w:val="28"/>
        </w:rPr>
      </w:pPr>
    </w:p>
    <w:p>
      <w:pPr>
        <w:spacing w:line="360" w:lineRule="auto"/>
        <w:jc w:val="center"/>
        <w:rPr>
          <w:rFonts w:ascii="Arial" w:hAnsi="Arial" w:cs="Arial"/>
          <w:b/>
          <w:bCs/>
          <w:sz w:val="28"/>
        </w:rPr>
      </w:pPr>
    </w:p>
    <w:p>
      <w:pPr>
        <w:spacing w:line="360" w:lineRule="auto"/>
        <w:jc w:val="center"/>
        <w:rPr>
          <w:rFonts w:ascii="Arial" w:hAnsi="Arial" w:cs="Arial"/>
          <w:b/>
          <w:bCs/>
          <w:sz w:val="28"/>
        </w:rPr>
      </w:pPr>
    </w:p>
    <w:p>
      <w:pPr>
        <w:spacing w:line="360" w:lineRule="auto"/>
        <w:jc w:val="center"/>
        <w:rPr>
          <w:rFonts w:ascii="Arial" w:hAnsi="Arial" w:cs="Arial"/>
          <w:b/>
          <w:bCs/>
          <w:sz w:val="28"/>
        </w:rPr>
      </w:pPr>
      <w:r>
        <w:rPr>
          <w:rFonts w:ascii="Arial" w:hAnsi="Arial" w:cs="Arial"/>
          <w:b/>
          <w:bCs/>
          <w:sz w:val="28"/>
        </w:rPr>
        <w:t>残疾人福利性单位声明函</w:t>
      </w:r>
    </w:p>
    <w:bookmarkEnd w:id="36"/>
    <w:bookmarkEnd w:id="37"/>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Arial" w:hAnsi="Arial" w:cs="Arial"/>
          <w:snapToGrid w:val="0"/>
          <w:kern w:val="0"/>
          <w:szCs w:val="21"/>
        </w:rPr>
      </w:pPr>
      <w:r>
        <w:rPr>
          <w:rFonts w:ascii="Arial" w:hAnsi="Arial" w:cs="Arial"/>
          <w:snapToGrid w:val="0"/>
          <w:kern w:val="0"/>
          <w:szCs w:val="21"/>
        </w:rPr>
        <w:t>本单位对上述声明的真实性负责。如有虚假，将依法承担相应责任。</w:t>
      </w:r>
    </w:p>
    <w:p>
      <w:pPr>
        <w:widowControl/>
        <w:spacing w:line="440" w:lineRule="exact"/>
        <w:ind w:firstLine="5040" w:firstLineChars="2400"/>
        <w:jc w:val="left"/>
        <w:rPr>
          <w:rFonts w:ascii="Arial" w:hAnsi="Arial" w:cs="Arial"/>
          <w:snapToGrid w:val="0"/>
          <w:kern w:val="0"/>
          <w:szCs w:val="21"/>
        </w:rPr>
      </w:pPr>
      <w:r>
        <w:rPr>
          <w:rFonts w:ascii="Arial" w:hAnsi="Arial" w:cs="Arial"/>
          <w:snapToGrid w:val="0"/>
          <w:kern w:val="0"/>
          <w:szCs w:val="21"/>
        </w:rPr>
        <w:t>单位名称（盖章）：</w:t>
      </w:r>
    </w:p>
    <w:p>
      <w:pPr>
        <w:widowControl/>
        <w:spacing w:line="440" w:lineRule="exact"/>
        <w:ind w:firstLine="5040" w:firstLineChars="2400"/>
        <w:jc w:val="left"/>
        <w:rPr>
          <w:rFonts w:ascii="Arial" w:hAnsi="Arial" w:cs="Arial"/>
          <w:snapToGrid w:val="0"/>
          <w:kern w:val="0"/>
          <w:szCs w:val="21"/>
        </w:rPr>
      </w:pPr>
      <w:r>
        <w:rPr>
          <w:rFonts w:ascii="Arial" w:hAnsi="Arial" w:cs="Arial"/>
          <w:snapToGrid w:val="0"/>
          <w:kern w:val="0"/>
          <w:szCs w:val="21"/>
        </w:rPr>
        <w:t>日  期：</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sz w:val="28"/>
        </w:rPr>
      </w:pPr>
      <w:r>
        <w:rPr>
          <w:rFonts w:ascii="Arial" w:hAnsi="Arial" w:cs="Arial"/>
          <w:b/>
          <w:bCs/>
          <w:sz w:val="28"/>
        </w:rPr>
        <w:t>属于监狱企业的证明文件</w:t>
      </w:r>
    </w:p>
    <w:p>
      <w:pPr>
        <w:spacing w:line="360" w:lineRule="auto"/>
        <w:rPr>
          <w:rFonts w:ascii="Arial" w:hAnsi="Arial" w:cs="Arial"/>
        </w:rPr>
      </w:pPr>
      <w:r>
        <w:rPr>
          <w:rFonts w:ascii="Arial" w:hAnsi="Arial" w:cs="Arial"/>
        </w:rPr>
        <w:t>（提供由省级以上监狱管理局、戒毒管理局(含新疆生产建设兵团)出具的属于监狱企业的证明文件）</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rPr>
      </w:pPr>
      <w:r>
        <w:rPr>
          <w:rFonts w:ascii="Arial" w:hAnsi="Arial" w:cs="Arial"/>
          <w:b/>
          <w:bCs/>
          <w:sz w:val="28"/>
        </w:rPr>
        <w:t>节能产品认证证书</w:t>
      </w:r>
    </w:p>
    <w:p>
      <w:pPr>
        <w:spacing w:line="360" w:lineRule="auto"/>
        <w:rPr>
          <w:rFonts w:ascii="Arial" w:hAnsi="Arial" w:cs="Arial"/>
          <w:bCs/>
        </w:rPr>
      </w:pPr>
      <w:r>
        <w:rPr>
          <w:rFonts w:ascii="Arial" w:hAnsi="Arial" w:cs="Arial"/>
          <w:bCs/>
        </w:rPr>
        <w:t>（提供国家确定的认证机构出具的、处于有效期之内的产品认证证书）</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rPr>
      </w:pPr>
      <w:r>
        <w:rPr>
          <w:rFonts w:ascii="Arial" w:hAnsi="Arial" w:cs="Arial"/>
          <w:b/>
          <w:bCs/>
          <w:sz w:val="28"/>
        </w:rPr>
        <w:t>环境标志产品认证证书</w:t>
      </w:r>
    </w:p>
    <w:p>
      <w:pPr>
        <w:spacing w:line="360" w:lineRule="auto"/>
        <w:rPr>
          <w:rFonts w:ascii="Arial" w:hAnsi="Arial" w:cs="Arial"/>
        </w:rPr>
      </w:pPr>
      <w:r>
        <w:rPr>
          <w:rFonts w:ascii="Arial" w:hAnsi="Arial" w:cs="Arial"/>
          <w:bCs/>
        </w:rPr>
        <w:t>（提供国家确定的认证机构出具的、处于有效期之内的产品认证证书）</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sz w:val="28"/>
        </w:rPr>
      </w:pPr>
      <w:r>
        <w:rPr>
          <w:rFonts w:ascii="Arial" w:hAnsi="Arial" w:cs="Arial"/>
          <w:b/>
          <w:bCs/>
          <w:sz w:val="28"/>
        </w:rPr>
        <w:t>进口产品转让技术、消化吸收再创新方案</w:t>
      </w:r>
    </w:p>
    <w:p>
      <w:pPr>
        <w:spacing w:line="360" w:lineRule="auto"/>
        <w:rPr>
          <w:rFonts w:ascii="Arial" w:hAnsi="Arial" w:cs="Arial"/>
          <w:bCs/>
        </w:rPr>
      </w:pPr>
      <w:r>
        <w:rPr>
          <w:rFonts w:ascii="Arial" w:hAnsi="Arial" w:cs="Arial"/>
          <w:bCs/>
        </w:rPr>
        <w:t>（对于允许进口产品参加的项目）</w:t>
      </w:r>
    </w:p>
    <w:p>
      <w:pPr>
        <w:spacing w:line="360" w:lineRule="auto"/>
        <w:rPr>
          <w:rFonts w:ascii="Arial" w:hAnsi="Arial" w:cs="Arial"/>
          <w:b/>
          <w:bCs/>
        </w:rPr>
      </w:pPr>
    </w:p>
    <w:p>
      <w:pPr>
        <w:autoSpaceDE w:val="0"/>
        <w:autoSpaceDN w:val="0"/>
        <w:adjustRightInd w:val="0"/>
        <w:spacing w:line="360" w:lineRule="auto"/>
        <w:rPr>
          <w:rFonts w:ascii="Arial" w:hAnsi="Arial" w:cs="Arial"/>
          <w:b/>
        </w:rPr>
      </w:pPr>
      <w:r>
        <w:rPr>
          <w:rFonts w:ascii="Arial" w:hAnsi="Arial" w:cs="Arial"/>
          <w:b/>
          <w:szCs w:val="21"/>
          <w:lang w:val="zh-CN"/>
        </w:rPr>
        <w:br w:type="page"/>
      </w:r>
      <w:r>
        <w:rPr>
          <w:rFonts w:ascii="Arial" w:hAnsi="Arial" w:cs="Arial"/>
          <w:b/>
        </w:rPr>
        <w:t>附件十一、无重大违法记录声明格式</w:t>
      </w:r>
    </w:p>
    <w:p>
      <w:pPr>
        <w:spacing w:line="240" w:lineRule="atLeast"/>
        <w:jc w:val="center"/>
        <w:rPr>
          <w:rFonts w:ascii="Arial" w:hAnsi="Arial" w:eastAsia="黑体" w:cs="Arial"/>
          <w:sz w:val="28"/>
          <w:szCs w:val="36"/>
        </w:rPr>
      </w:pPr>
    </w:p>
    <w:p>
      <w:pPr>
        <w:spacing w:line="240" w:lineRule="atLeast"/>
        <w:jc w:val="center"/>
        <w:rPr>
          <w:rFonts w:ascii="Arial" w:hAnsi="Arial" w:eastAsia="黑体" w:cs="Arial"/>
          <w:sz w:val="28"/>
          <w:szCs w:val="36"/>
        </w:rPr>
      </w:pPr>
      <w:r>
        <w:rPr>
          <w:rFonts w:ascii="Arial" w:hAnsi="Arial" w:eastAsia="黑体" w:cs="Arial"/>
          <w:sz w:val="28"/>
          <w:szCs w:val="36"/>
        </w:rPr>
        <w:t>无重大违法记录声明</w:t>
      </w:r>
    </w:p>
    <w:p>
      <w:pPr>
        <w:spacing w:line="360" w:lineRule="auto"/>
        <w:rPr>
          <w:rFonts w:ascii="Arial" w:hAnsi="Arial" w:eastAsia="黑体" w:cs="Arial"/>
          <w:szCs w:val="21"/>
        </w:rPr>
      </w:pPr>
    </w:p>
    <w:p>
      <w:pPr>
        <w:spacing w:line="360" w:lineRule="auto"/>
        <w:rPr>
          <w:rFonts w:ascii="Arial" w:hAnsi="Arial" w:cs="Arial"/>
          <w:szCs w:val="21"/>
        </w:rPr>
      </w:pPr>
      <w:r>
        <w:rPr>
          <w:rFonts w:ascii="Arial" w:hAnsi="Arial" w:cs="Arial"/>
          <w:szCs w:val="21"/>
        </w:rPr>
        <w:t>江苏省设备成套股份有限公司：</w:t>
      </w:r>
    </w:p>
    <w:p>
      <w:pPr>
        <w:spacing w:line="360" w:lineRule="auto"/>
        <w:rPr>
          <w:rFonts w:ascii="Arial" w:hAnsi="Arial" w:cs="Arial"/>
        </w:rPr>
      </w:pPr>
    </w:p>
    <w:p>
      <w:pPr>
        <w:spacing w:line="360" w:lineRule="auto"/>
        <w:ind w:firstLine="336" w:firstLineChars="160"/>
        <w:rPr>
          <w:rFonts w:ascii="Arial" w:hAnsi="Arial" w:cs="Arial"/>
        </w:rPr>
      </w:pPr>
      <w:r>
        <w:rPr>
          <w:rFonts w:ascii="Arial" w:hAnsi="Arial" w:cs="Arial"/>
        </w:rPr>
        <w:t>我单位（供应商名称）郑重声明：</w:t>
      </w:r>
    </w:p>
    <w:p>
      <w:pPr>
        <w:widowControl/>
        <w:shd w:val="clear" w:color="auto" w:fill="FFFFFF"/>
        <w:spacing w:line="360" w:lineRule="auto"/>
        <w:ind w:firstLine="308" w:firstLineChars="147"/>
        <w:rPr>
          <w:rFonts w:ascii="Arial" w:hAnsi="Arial" w:cs="Arial"/>
          <w:b/>
          <w:kern w:val="0"/>
          <w:szCs w:val="21"/>
        </w:rPr>
      </w:pPr>
      <w:r>
        <w:rPr>
          <w:rFonts w:ascii="Arial" w:hAnsi="Arial" w:cs="Arial"/>
          <w:kern w:val="0"/>
          <w:szCs w:val="21"/>
        </w:rPr>
        <w:t>我单位</w:t>
      </w:r>
      <w:r>
        <w:rPr>
          <w:rFonts w:ascii="Arial" w:hAnsi="Arial" w:cs="Arial"/>
        </w:rPr>
        <w:t>参加政府采购活动前3年内在经营活动中（</w:t>
      </w:r>
      <w:r>
        <w:rPr>
          <w:rFonts w:ascii="Arial" w:hAnsi="Arial" w:cs="Arial"/>
          <w:b/>
          <w:i/>
          <w:u w:val="single"/>
        </w:rPr>
        <w:t>在下划线上如实填写：有或没有</w:t>
      </w:r>
      <w:r>
        <w:rPr>
          <w:rFonts w:ascii="Arial" w:hAnsi="Arial" w:cs="Arial"/>
        </w:rPr>
        <w:t>）</w:t>
      </w:r>
      <w:r>
        <w:rPr>
          <w:rFonts w:ascii="Arial" w:hAnsi="Arial" w:cs="Arial"/>
          <w:b/>
        </w:rPr>
        <w:t>重大违法记录</w:t>
      </w:r>
      <w:r>
        <w:rPr>
          <w:rFonts w:ascii="Arial" w:hAnsi="Arial" w:cs="Arial"/>
          <w:b/>
          <w:kern w:val="0"/>
          <w:szCs w:val="21"/>
        </w:rPr>
        <w:t>，且不是失信被执行人、重大税收违法案件当事人名单、政府采购严重违法失信行为记录名单的供应商。</w:t>
      </w:r>
    </w:p>
    <w:p>
      <w:pPr>
        <w:spacing w:line="360" w:lineRule="auto"/>
        <w:ind w:firstLine="420" w:firstLineChars="200"/>
        <w:rPr>
          <w:rFonts w:ascii="Arial" w:hAnsi="Arial" w:cs="Arial"/>
        </w:rPr>
      </w:pPr>
    </w:p>
    <w:p>
      <w:pPr>
        <w:spacing w:line="360" w:lineRule="auto"/>
        <w:ind w:firstLine="315" w:firstLineChars="150"/>
        <w:rPr>
          <w:rFonts w:ascii="Arial" w:hAnsi="Arial" w:cs="Arial"/>
        </w:rPr>
      </w:pPr>
      <w:r>
        <w:rPr>
          <w:rFonts w:ascii="Arial" w:hAnsi="Arial" w:cs="Arial"/>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Arial" w:hAnsi="Arial" w:cs="Arial"/>
        </w:rPr>
      </w:pPr>
    </w:p>
    <w:p>
      <w:pPr>
        <w:spacing w:line="360" w:lineRule="auto"/>
        <w:rPr>
          <w:rFonts w:ascii="Arial" w:hAnsi="Arial" w:cs="Arial"/>
        </w:rPr>
      </w:pPr>
    </w:p>
    <w:p>
      <w:pPr>
        <w:spacing w:line="360" w:lineRule="auto"/>
        <w:ind w:firstLine="5103" w:firstLineChars="2430"/>
        <w:rPr>
          <w:rFonts w:ascii="Arial" w:hAnsi="Arial" w:cs="Arial"/>
        </w:rPr>
      </w:pPr>
      <w:r>
        <w:rPr>
          <w:rFonts w:ascii="Arial" w:hAnsi="Arial" w:cs="Arial"/>
        </w:rPr>
        <w:t>声明人：（公章）</w:t>
      </w:r>
    </w:p>
    <w:p>
      <w:pPr>
        <w:autoSpaceDE w:val="0"/>
        <w:autoSpaceDN w:val="0"/>
        <w:adjustRightInd w:val="0"/>
        <w:spacing w:line="360" w:lineRule="auto"/>
        <w:ind w:firstLine="5040" w:firstLineChars="2400"/>
        <w:rPr>
          <w:rFonts w:ascii="Arial" w:hAnsi="Arial" w:cs="Arial"/>
          <w:b/>
        </w:rPr>
      </w:pPr>
      <w:r>
        <w:rPr>
          <w:rFonts w:ascii="Arial" w:hAnsi="Arial" w:cs="Arial"/>
          <w:szCs w:val="21"/>
          <w:lang w:val="zh-CN"/>
        </w:rPr>
        <w:t>日期：</w:t>
      </w:r>
      <w:r>
        <w:rPr>
          <w:rFonts w:ascii="Arial" w:hAnsi="Arial" w:cs="Arial"/>
          <w:szCs w:val="21"/>
        </w:rPr>
        <w:t xml:space="preserve">    </w:t>
      </w:r>
      <w:r>
        <w:rPr>
          <w:rFonts w:ascii="Arial" w:hAnsi="Arial" w:cs="Arial"/>
          <w:szCs w:val="21"/>
          <w:lang w:val="zh-CN"/>
        </w:rPr>
        <w:t>年</w:t>
      </w:r>
      <w:r>
        <w:rPr>
          <w:rFonts w:ascii="Arial" w:hAnsi="Arial" w:cs="Arial"/>
          <w:szCs w:val="21"/>
        </w:rPr>
        <w:t xml:space="preserve">   </w:t>
      </w:r>
      <w:r>
        <w:rPr>
          <w:rFonts w:ascii="Arial" w:hAnsi="Arial" w:cs="Arial"/>
          <w:szCs w:val="21"/>
          <w:lang w:val="zh-CN"/>
        </w:rPr>
        <w:t>月</w:t>
      </w:r>
      <w:r>
        <w:rPr>
          <w:rFonts w:ascii="Arial" w:hAnsi="Arial" w:cs="Arial"/>
          <w:b/>
          <w:szCs w:val="21"/>
          <w:lang w:val="zh-CN"/>
        </w:rPr>
        <w:br w:type="page"/>
      </w:r>
      <w:r>
        <w:rPr>
          <w:rFonts w:ascii="Arial" w:hAnsi="Arial" w:cs="Arial"/>
          <w:b/>
        </w:rPr>
        <w:t>附件十二、投标保证金缴纳凭证</w:t>
      </w:r>
    </w:p>
    <w:p>
      <w:pPr>
        <w:autoSpaceDE w:val="0"/>
        <w:autoSpaceDN w:val="0"/>
        <w:adjustRightInd w:val="0"/>
        <w:spacing w:line="360" w:lineRule="auto"/>
        <w:ind w:firstLine="5060" w:firstLineChars="2400"/>
        <w:rPr>
          <w:rFonts w:ascii="Arial" w:hAnsi="Arial" w:cs="Arial"/>
          <w:b/>
        </w:rPr>
      </w:pPr>
    </w:p>
    <w:p>
      <w:pPr>
        <w:autoSpaceDE w:val="0"/>
        <w:autoSpaceDN w:val="0"/>
        <w:adjustRightInd w:val="0"/>
        <w:spacing w:line="360" w:lineRule="auto"/>
        <w:ind w:firstLine="5060" w:firstLineChars="2400"/>
        <w:rPr>
          <w:rFonts w:ascii="Arial" w:hAnsi="Arial" w:cs="Arial"/>
          <w:b/>
        </w:rPr>
      </w:pPr>
    </w:p>
    <w:p>
      <w:pPr>
        <w:autoSpaceDE w:val="0"/>
        <w:autoSpaceDN w:val="0"/>
        <w:adjustRightInd w:val="0"/>
        <w:spacing w:line="360" w:lineRule="auto"/>
        <w:ind w:firstLine="5060" w:firstLineChars="2400"/>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r>
        <w:rPr>
          <w:rFonts w:ascii="Arial" w:hAnsi="Arial" w:cs="Arial"/>
          <w:b/>
        </w:rPr>
        <w:t>附件十三、 资格资信证明文件</w:t>
      </w: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r>
        <w:rPr>
          <w:rFonts w:ascii="Arial" w:hAnsi="Arial" w:cs="Arial"/>
          <w:b/>
        </w:rPr>
        <w:t>附件十四、 联合体协议及联合体授权委托书（如允许联合体）</w:t>
      </w: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p>
    <w:p>
      <w:pPr>
        <w:autoSpaceDE w:val="0"/>
        <w:autoSpaceDN w:val="0"/>
        <w:adjustRightInd w:val="0"/>
        <w:spacing w:line="360" w:lineRule="auto"/>
        <w:rPr>
          <w:rFonts w:ascii="Arial" w:hAnsi="Arial" w:cs="Arial"/>
          <w:b/>
        </w:rPr>
      </w:pPr>
      <w:r>
        <w:rPr>
          <w:rFonts w:ascii="Arial" w:hAnsi="Arial" w:cs="Arial"/>
          <w:b/>
        </w:rPr>
        <w:t>附件十</w:t>
      </w:r>
      <w:r>
        <w:rPr>
          <w:rFonts w:hint="eastAsia" w:ascii="Arial" w:hAnsi="Arial" w:cs="Arial"/>
          <w:b/>
        </w:rPr>
        <w:t>五</w:t>
      </w:r>
      <w:r>
        <w:rPr>
          <w:rFonts w:ascii="Arial" w:hAnsi="Arial" w:cs="Arial"/>
          <w:b/>
        </w:rPr>
        <w:t>、其他</w:t>
      </w:r>
    </w:p>
    <w:sectPr>
      <w:footerReference r:id="rId5"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20B0604020202020204"/>
    <w:charset w:val="00"/>
    <w:family w:val="swiss"/>
    <w:pitch w:val="default"/>
    <w:sig w:usb0="00000000" w:usb1="00000000" w:usb2="00000000" w:usb3="00000000" w:csb0="00000001" w:csb1="00000000"/>
  </w:font>
  <w:font w:name="仿宋_GB2312">
    <w:altName w:val="仿宋"/>
    <w:panose1 w:val="020B0604020202020204"/>
    <w:charset w:val="86"/>
    <w:family w:val="modern"/>
    <w:pitch w:val="default"/>
    <w:sig w:usb0="00000000" w:usb1="00000000" w:usb2="00000000" w:usb3="00000000" w:csb0="00040000" w:csb1="00000000"/>
  </w:font>
  <w:font w:name="KNLe">
    <w:altName w:val="Times New Roman"/>
    <w:panose1 w:val="020B0604020202020204"/>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8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32</w:t>
    </w:r>
    <w:r>
      <w:rPr>
        <w:lang w:val="zh-CN"/>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rPr>
      <w:t>第</w:t>
    </w:r>
    <w:r>
      <w:fldChar w:fldCharType="begin"/>
    </w:r>
    <w:r>
      <w:instrText xml:space="preserve"> PAGE  \* MERGEFORMAT </w:instrText>
    </w:r>
    <w:r>
      <w:fldChar w:fldCharType="separate"/>
    </w:r>
    <w:r>
      <w:t>50</w:t>
    </w:r>
    <w:r>
      <w:fldChar w:fldCharType="end"/>
    </w:r>
    <w:r>
      <w:rPr>
        <w:rFonts w:hint="eastAsia"/>
      </w:rPr>
      <w:t>页共</w:t>
    </w:r>
    <w:r>
      <w:fldChar w:fldCharType="begin"/>
    </w:r>
    <w:r>
      <w:instrText xml:space="preserve"> NUMPAGES  \* MERGEFORMAT </w:instrText>
    </w:r>
    <w:r>
      <w:fldChar w:fldCharType="separate"/>
    </w:r>
    <w:r>
      <w:t>50</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2">
    <w:nsid w:val="130A2188"/>
    <w:multiLevelType w:val="multilevel"/>
    <w:tmpl w:val="130A2188"/>
    <w:lvl w:ilvl="0" w:tentative="0">
      <w:start w:val="1"/>
      <w:numFmt w:val="chineseCountingThousand"/>
      <w:pStyle w:val="143"/>
      <w:lvlText w:val="%1"/>
      <w:lvlJc w:val="left"/>
      <w:pPr>
        <w:ind w:left="425" w:hanging="425"/>
      </w:pPr>
      <w:rPr>
        <w:rFonts w:hint="eastAsia" w:ascii="Arial Unicode MS" w:hAnsi="Arial Unicode MS" w:eastAsia="微软雅黑"/>
        <w:b/>
        <w:i w:val="0"/>
        <w:lang w:val="en-US"/>
      </w:rPr>
    </w:lvl>
    <w:lvl w:ilvl="1" w:tentative="0">
      <w:start w:val="1"/>
      <w:numFmt w:val="decimal"/>
      <w:pStyle w:val="163"/>
      <w:isLgl/>
      <w:lvlText w:val="%1.%2"/>
      <w:lvlJc w:val="left"/>
      <w:pPr>
        <w:ind w:left="425" w:hanging="425"/>
      </w:pPr>
      <w:rPr>
        <w:rFonts w:hint="eastAsia" w:ascii="Arial Unicode MS" w:hAnsi="Arial Unicode MS" w:eastAsia="微软雅黑"/>
        <w:b/>
        <w:i w:val="0"/>
      </w:rPr>
    </w:lvl>
    <w:lvl w:ilvl="2" w:tentative="0">
      <w:start w:val="1"/>
      <w:numFmt w:val="decimal"/>
      <w:pStyle w:val="177"/>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5915610C"/>
    <w:multiLevelType w:val="singleLevel"/>
    <w:tmpl w:val="5915610C"/>
    <w:lvl w:ilvl="0" w:tentative="0">
      <w:start w:val="1"/>
      <w:numFmt w:val="decimal"/>
      <w:suff w:val="nothing"/>
      <w:lvlText w:val="%1、"/>
      <w:lvlJc w:val="left"/>
    </w:lvl>
  </w:abstractNum>
  <w:abstractNum w:abstractNumId="4">
    <w:nsid w:val="5E684F2C"/>
    <w:multiLevelType w:val="singleLevel"/>
    <w:tmpl w:val="5E684F2C"/>
    <w:lvl w:ilvl="0" w:tentative="0">
      <w:start w:val="1"/>
      <w:numFmt w:val="decimal"/>
      <w:suff w:val="nothing"/>
      <w:lvlText w:val="%1、"/>
      <w:lvlJc w:val="left"/>
    </w:lvl>
  </w:abstractNum>
  <w:abstractNum w:abstractNumId="5">
    <w:nsid w:val="5E684F45"/>
    <w:multiLevelType w:val="singleLevel"/>
    <w:tmpl w:val="5E684F45"/>
    <w:lvl w:ilvl="0" w:tentative="0">
      <w:start w:val="1"/>
      <w:numFmt w:val="decimal"/>
      <w:suff w:val="nothing"/>
      <w:lvlText w:val="%1、"/>
      <w:lvlJc w:val="left"/>
    </w:lvl>
  </w:abstractNum>
  <w:abstractNum w:abstractNumId="6">
    <w:nsid w:val="5E684F67"/>
    <w:multiLevelType w:val="singleLevel"/>
    <w:tmpl w:val="5E684F67"/>
    <w:lvl w:ilvl="0" w:tentative="0">
      <w:start w:val="1"/>
      <w:numFmt w:val="decimal"/>
      <w:suff w:val="nothing"/>
      <w:lvlText w:val="%1、"/>
      <w:lvlJc w:val="left"/>
    </w:lvl>
  </w:abstractNum>
  <w:abstractNum w:abstractNumId="7">
    <w:nsid w:val="5E684F82"/>
    <w:multiLevelType w:val="singleLevel"/>
    <w:tmpl w:val="5E684F82"/>
    <w:lvl w:ilvl="0" w:tentative="0">
      <w:start w:val="1"/>
      <w:numFmt w:val="decimal"/>
      <w:suff w:val="nothing"/>
      <w:lvlText w:val="%1、"/>
      <w:lvlJc w:val="left"/>
    </w:lvl>
  </w:abstractNum>
  <w:abstractNum w:abstractNumId="8">
    <w:nsid w:val="5E684FB9"/>
    <w:multiLevelType w:val="singleLevel"/>
    <w:tmpl w:val="5E684FB9"/>
    <w:lvl w:ilvl="0" w:tentative="0">
      <w:start w:val="1"/>
      <w:numFmt w:val="decimal"/>
      <w:suff w:val="nothing"/>
      <w:lvlText w:val="%1、"/>
      <w:lvlJc w:val="left"/>
    </w:lvl>
  </w:abstractNum>
  <w:abstractNum w:abstractNumId="9">
    <w:nsid w:val="5E684FD6"/>
    <w:multiLevelType w:val="singleLevel"/>
    <w:tmpl w:val="5E684FD6"/>
    <w:lvl w:ilvl="0" w:tentative="0">
      <w:start w:val="1"/>
      <w:numFmt w:val="decimal"/>
      <w:suff w:val="nothing"/>
      <w:lvlText w:val="%1、"/>
      <w:lvlJc w:val="left"/>
    </w:lvl>
  </w:abstractNum>
  <w:abstractNum w:abstractNumId="10">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669B1E50"/>
    <w:multiLevelType w:val="multilevel"/>
    <w:tmpl w:val="669B1E50"/>
    <w:lvl w:ilvl="0" w:tentative="0">
      <w:start w:val="1"/>
      <w:numFmt w:val="decimal"/>
      <w:lvlText w:val="%1"/>
      <w:lvlJc w:val="left"/>
      <w:pPr>
        <w:tabs>
          <w:tab w:val="left" w:pos="142"/>
        </w:tabs>
        <w:ind w:left="142" w:firstLine="0"/>
      </w:pPr>
      <w:rPr>
        <w:rFonts w:hint="eastAsia"/>
      </w:rPr>
    </w:lvl>
    <w:lvl w:ilvl="1" w:tentative="0">
      <w:start w:val="1"/>
      <w:numFmt w:val="decimal"/>
      <w:lvlText w:val="%1.%2"/>
      <w:lvlJc w:val="left"/>
      <w:pPr>
        <w:tabs>
          <w:tab w:val="left" w:pos="3836"/>
        </w:tabs>
        <w:ind w:left="3836" w:hanging="576"/>
      </w:pPr>
      <w:rPr>
        <w:rFonts w:hint="eastAsia"/>
      </w:rPr>
    </w:lvl>
    <w:lvl w:ilvl="2" w:tentative="0">
      <w:start w:val="1"/>
      <w:numFmt w:val="decimal"/>
      <w:lvlText w:val="%1.%2.%3"/>
      <w:lvlJc w:val="left"/>
      <w:pPr>
        <w:tabs>
          <w:tab w:val="left" w:pos="1145"/>
        </w:tabs>
        <w:ind w:left="1145" w:hanging="720"/>
      </w:pPr>
      <w:rPr>
        <w:rFonts w:hint="eastAsia"/>
      </w:rPr>
    </w:lvl>
    <w:lvl w:ilvl="3" w:tentative="0">
      <w:start w:val="1"/>
      <w:numFmt w:val="decimal"/>
      <w:lvlText w:val="%1.%2.%3.%4"/>
      <w:lvlJc w:val="left"/>
      <w:pPr>
        <w:tabs>
          <w:tab w:val="left" w:pos="1284"/>
        </w:tabs>
        <w:ind w:left="1284" w:hanging="864"/>
      </w:pPr>
      <w:rPr>
        <w:rFonts w:hint="eastAsia"/>
      </w:rPr>
    </w:lvl>
    <w:lvl w:ilvl="4" w:tentative="0">
      <w:start w:val="1"/>
      <w:numFmt w:val="decimal"/>
      <w:lvlText w:val="%1.%2.%3.%4.%5"/>
      <w:lvlJc w:val="left"/>
      <w:pPr>
        <w:tabs>
          <w:tab w:val="left" w:pos="1428"/>
        </w:tabs>
        <w:ind w:left="1428" w:hanging="1008"/>
      </w:pPr>
      <w:rPr>
        <w:rFonts w:hint="eastAsia"/>
      </w:rPr>
    </w:lvl>
    <w:lvl w:ilvl="5" w:tentative="0">
      <w:start w:val="1"/>
      <w:numFmt w:val="decimal"/>
      <w:lvlText w:val="%1.%2.%3.%4.%5.%6"/>
      <w:lvlJc w:val="left"/>
      <w:pPr>
        <w:tabs>
          <w:tab w:val="left" w:pos="1719"/>
        </w:tabs>
        <w:ind w:left="1719" w:hanging="1152"/>
      </w:pPr>
      <w:rPr>
        <w:rFonts w:hint="eastAsia"/>
      </w:rPr>
    </w:lvl>
    <w:lvl w:ilvl="6" w:tentative="0">
      <w:start w:val="1"/>
      <w:numFmt w:val="decimal"/>
      <w:lvlText w:val="%1.%2.%3.%4.%5.%6.%7"/>
      <w:lvlJc w:val="left"/>
      <w:pPr>
        <w:tabs>
          <w:tab w:val="left" w:pos="1716"/>
        </w:tabs>
        <w:ind w:left="1716" w:hanging="1296"/>
      </w:pPr>
      <w:rPr>
        <w:rFonts w:hint="eastAsia"/>
      </w:rPr>
    </w:lvl>
    <w:lvl w:ilvl="7" w:tentative="0">
      <w:start w:val="1"/>
      <w:numFmt w:val="decimal"/>
      <w:lvlText w:val="%1.%2.%3.%4.%5.%6.%7.%8"/>
      <w:lvlJc w:val="left"/>
      <w:pPr>
        <w:tabs>
          <w:tab w:val="left" w:pos="1860"/>
        </w:tabs>
        <w:ind w:left="1860" w:hanging="1440"/>
      </w:pPr>
      <w:rPr>
        <w:rFonts w:hint="eastAsia"/>
      </w:rPr>
    </w:lvl>
    <w:lvl w:ilvl="8" w:tentative="0">
      <w:start w:val="1"/>
      <w:numFmt w:val="decimal"/>
      <w:lvlText w:val="%1.%2.%3.%4.%5.%6.%7.%8.%9"/>
      <w:lvlJc w:val="left"/>
      <w:pPr>
        <w:tabs>
          <w:tab w:val="left" w:pos="2004"/>
        </w:tabs>
        <w:ind w:left="2004" w:hanging="1584"/>
      </w:pPr>
      <w:rPr>
        <w:rFonts w:hint="eastAsia"/>
      </w:rPr>
    </w:lvl>
  </w:abstractNum>
  <w:num w:numId="1">
    <w:abstractNumId w:val="0"/>
  </w:num>
  <w:num w:numId="2">
    <w:abstractNumId w:val="2"/>
  </w:num>
  <w:num w:numId="3">
    <w:abstractNumId w:val="1"/>
  </w:num>
  <w:num w:numId="4">
    <w:abstractNumId w:val="11"/>
  </w:num>
  <w:num w:numId="5">
    <w:abstractNumId w:val="10"/>
  </w:num>
  <w:num w:numId="6">
    <w:abstractNumId w:val="6"/>
  </w:num>
  <w:num w:numId="7">
    <w:abstractNumId w:val="5"/>
  </w:num>
  <w:num w:numId="8">
    <w:abstractNumId w:val="4"/>
  </w:num>
  <w:num w:numId="9">
    <w:abstractNumId w:val="7"/>
  </w:num>
  <w:num w:numId="10">
    <w:abstractNumId w:val="8"/>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强">
    <w15:presenceInfo w15:providerId="None" w15:userId="徐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BC"/>
    <w:rsid w:val="000037BA"/>
    <w:rsid w:val="00003E09"/>
    <w:rsid w:val="00004ADD"/>
    <w:rsid w:val="00013EE1"/>
    <w:rsid w:val="00016168"/>
    <w:rsid w:val="000207B3"/>
    <w:rsid w:val="00020AA1"/>
    <w:rsid w:val="00020F19"/>
    <w:rsid w:val="000240F2"/>
    <w:rsid w:val="00024385"/>
    <w:rsid w:val="0002464E"/>
    <w:rsid w:val="00026D12"/>
    <w:rsid w:val="00031EC9"/>
    <w:rsid w:val="00032B4A"/>
    <w:rsid w:val="00032EB2"/>
    <w:rsid w:val="00033F13"/>
    <w:rsid w:val="00035A5A"/>
    <w:rsid w:val="00037558"/>
    <w:rsid w:val="0004062C"/>
    <w:rsid w:val="000427E1"/>
    <w:rsid w:val="00042948"/>
    <w:rsid w:val="00043A61"/>
    <w:rsid w:val="00044757"/>
    <w:rsid w:val="00044FB9"/>
    <w:rsid w:val="000458DD"/>
    <w:rsid w:val="000473B7"/>
    <w:rsid w:val="00047F5E"/>
    <w:rsid w:val="00051706"/>
    <w:rsid w:val="00051ABD"/>
    <w:rsid w:val="00051BCC"/>
    <w:rsid w:val="00051EB2"/>
    <w:rsid w:val="000527C8"/>
    <w:rsid w:val="00054F7D"/>
    <w:rsid w:val="00056E6B"/>
    <w:rsid w:val="0006006F"/>
    <w:rsid w:val="00060B89"/>
    <w:rsid w:val="00062472"/>
    <w:rsid w:val="000640E2"/>
    <w:rsid w:val="0006476D"/>
    <w:rsid w:val="00064BCC"/>
    <w:rsid w:val="00067D84"/>
    <w:rsid w:val="00072185"/>
    <w:rsid w:val="00073568"/>
    <w:rsid w:val="00081250"/>
    <w:rsid w:val="000851FF"/>
    <w:rsid w:val="0008631F"/>
    <w:rsid w:val="0009284A"/>
    <w:rsid w:val="000963C4"/>
    <w:rsid w:val="00096BB7"/>
    <w:rsid w:val="00097207"/>
    <w:rsid w:val="00097293"/>
    <w:rsid w:val="00097411"/>
    <w:rsid w:val="000978F6"/>
    <w:rsid w:val="00097C5F"/>
    <w:rsid w:val="000A06CE"/>
    <w:rsid w:val="000A45A0"/>
    <w:rsid w:val="000A573E"/>
    <w:rsid w:val="000A7DA8"/>
    <w:rsid w:val="000B086C"/>
    <w:rsid w:val="000B21A6"/>
    <w:rsid w:val="000B4AC4"/>
    <w:rsid w:val="000B6FEE"/>
    <w:rsid w:val="000C3C47"/>
    <w:rsid w:val="000D18A2"/>
    <w:rsid w:val="000D3D5A"/>
    <w:rsid w:val="000D4CDD"/>
    <w:rsid w:val="000E0528"/>
    <w:rsid w:val="000E513A"/>
    <w:rsid w:val="000E5792"/>
    <w:rsid w:val="000E595A"/>
    <w:rsid w:val="000E6BE6"/>
    <w:rsid w:val="000E70D0"/>
    <w:rsid w:val="000E7AEC"/>
    <w:rsid w:val="000F353A"/>
    <w:rsid w:val="000F3911"/>
    <w:rsid w:val="000F64B8"/>
    <w:rsid w:val="000F79E3"/>
    <w:rsid w:val="00100C2D"/>
    <w:rsid w:val="00102973"/>
    <w:rsid w:val="00106DF5"/>
    <w:rsid w:val="00107AD2"/>
    <w:rsid w:val="001152DD"/>
    <w:rsid w:val="00115C20"/>
    <w:rsid w:val="0011699D"/>
    <w:rsid w:val="00116AB7"/>
    <w:rsid w:val="00121249"/>
    <w:rsid w:val="00123A13"/>
    <w:rsid w:val="00124DDA"/>
    <w:rsid w:val="00125FE2"/>
    <w:rsid w:val="0013061E"/>
    <w:rsid w:val="00130C01"/>
    <w:rsid w:val="001315EC"/>
    <w:rsid w:val="00132750"/>
    <w:rsid w:val="00132D0F"/>
    <w:rsid w:val="00133C84"/>
    <w:rsid w:val="0013431C"/>
    <w:rsid w:val="0014045A"/>
    <w:rsid w:val="0014108C"/>
    <w:rsid w:val="00142258"/>
    <w:rsid w:val="00145CD4"/>
    <w:rsid w:val="00153691"/>
    <w:rsid w:val="00156B27"/>
    <w:rsid w:val="00156C22"/>
    <w:rsid w:val="001620DA"/>
    <w:rsid w:val="00163D70"/>
    <w:rsid w:val="00165899"/>
    <w:rsid w:val="001709AF"/>
    <w:rsid w:val="00172A27"/>
    <w:rsid w:val="00172BB0"/>
    <w:rsid w:val="00173F2B"/>
    <w:rsid w:val="00176ACB"/>
    <w:rsid w:val="00180512"/>
    <w:rsid w:val="00184409"/>
    <w:rsid w:val="00190367"/>
    <w:rsid w:val="00190B4C"/>
    <w:rsid w:val="0019168F"/>
    <w:rsid w:val="00193455"/>
    <w:rsid w:val="00197E0F"/>
    <w:rsid w:val="001A38B9"/>
    <w:rsid w:val="001A3E0B"/>
    <w:rsid w:val="001A7DAF"/>
    <w:rsid w:val="001B0329"/>
    <w:rsid w:val="001B4A81"/>
    <w:rsid w:val="001B77CB"/>
    <w:rsid w:val="001C158D"/>
    <w:rsid w:val="001C226C"/>
    <w:rsid w:val="001C29EE"/>
    <w:rsid w:val="001C34CC"/>
    <w:rsid w:val="001C6D1C"/>
    <w:rsid w:val="001D3678"/>
    <w:rsid w:val="001D4C43"/>
    <w:rsid w:val="001D56B2"/>
    <w:rsid w:val="001E4541"/>
    <w:rsid w:val="001E566C"/>
    <w:rsid w:val="001E6506"/>
    <w:rsid w:val="001F2EB7"/>
    <w:rsid w:val="001F3EF6"/>
    <w:rsid w:val="00201CD1"/>
    <w:rsid w:val="00201D97"/>
    <w:rsid w:val="00202386"/>
    <w:rsid w:val="002035A8"/>
    <w:rsid w:val="00206E55"/>
    <w:rsid w:val="00207739"/>
    <w:rsid w:val="002079EB"/>
    <w:rsid w:val="00210C2B"/>
    <w:rsid w:val="00213F8B"/>
    <w:rsid w:val="00215B16"/>
    <w:rsid w:val="0021753F"/>
    <w:rsid w:val="002179DE"/>
    <w:rsid w:val="002215ED"/>
    <w:rsid w:val="00226A2F"/>
    <w:rsid w:val="00227213"/>
    <w:rsid w:val="00235A36"/>
    <w:rsid w:val="002368B0"/>
    <w:rsid w:val="0023761F"/>
    <w:rsid w:val="00241C7D"/>
    <w:rsid w:val="0024462B"/>
    <w:rsid w:val="0025013B"/>
    <w:rsid w:val="00250EDD"/>
    <w:rsid w:val="00253197"/>
    <w:rsid w:val="002570EE"/>
    <w:rsid w:val="002604F0"/>
    <w:rsid w:val="00263349"/>
    <w:rsid w:val="00264313"/>
    <w:rsid w:val="002708AF"/>
    <w:rsid w:val="002740C3"/>
    <w:rsid w:val="0027735C"/>
    <w:rsid w:val="0027753E"/>
    <w:rsid w:val="002810AC"/>
    <w:rsid w:val="002812CC"/>
    <w:rsid w:val="002867C5"/>
    <w:rsid w:val="00293EC3"/>
    <w:rsid w:val="00295A7F"/>
    <w:rsid w:val="002A3AF4"/>
    <w:rsid w:val="002A74F1"/>
    <w:rsid w:val="002A7B32"/>
    <w:rsid w:val="002B7B7D"/>
    <w:rsid w:val="002C084A"/>
    <w:rsid w:val="002C24AF"/>
    <w:rsid w:val="002C4A64"/>
    <w:rsid w:val="002C6711"/>
    <w:rsid w:val="002D2894"/>
    <w:rsid w:val="002D696C"/>
    <w:rsid w:val="002D7BA2"/>
    <w:rsid w:val="002E0562"/>
    <w:rsid w:val="002E0FD5"/>
    <w:rsid w:val="002E35B5"/>
    <w:rsid w:val="002E3BC8"/>
    <w:rsid w:val="002E585D"/>
    <w:rsid w:val="002E5CD7"/>
    <w:rsid w:val="002E67FB"/>
    <w:rsid w:val="002E6D7C"/>
    <w:rsid w:val="002F0C61"/>
    <w:rsid w:val="002F4462"/>
    <w:rsid w:val="002F5066"/>
    <w:rsid w:val="002F5D82"/>
    <w:rsid w:val="002F6084"/>
    <w:rsid w:val="0030167A"/>
    <w:rsid w:val="00304E56"/>
    <w:rsid w:val="003120B1"/>
    <w:rsid w:val="00312410"/>
    <w:rsid w:val="003129FD"/>
    <w:rsid w:val="00312B26"/>
    <w:rsid w:val="00313484"/>
    <w:rsid w:val="00313AEF"/>
    <w:rsid w:val="00313BF3"/>
    <w:rsid w:val="003141CA"/>
    <w:rsid w:val="003154A3"/>
    <w:rsid w:val="003203E5"/>
    <w:rsid w:val="003246D4"/>
    <w:rsid w:val="00326C8C"/>
    <w:rsid w:val="00327533"/>
    <w:rsid w:val="00327B87"/>
    <w:rsid w:val="003309C5"/>
    <w:rsid w:val="003335D3"/>
    <w:rsid w:val="00334124"/>
    <w:rsid w:val="00336C53"/>
    <w:rsid w:val="00340850"/>
    <w:rsid w:val="0034418A"/>
    <w:rsid w:val="003456CE"/>
    <w:rsid w:val="00345DB5"/>
    <w:rsid w:val="003461C4"/>
    <w:rsid w:val="00346E30"/>
    <w:rsid w:val="0034735E"/>
    <w:rsid w:val="00351AFA"/>
    <w:rsid w:val="003527FB"/>
    <w:rsid w:val="00352E13"/>
    <w:rsid w:val="00357CF7"/>
    <w:rsid w:val="003600F4"/>
    <w:rsid w:val="003651BD"/>
    <w:rsid w:val="00367044"/>
    <w:rsid w:val="00367B81"/>
    <w:rsid w:val="0037007A"/>
    <w:rsid w:val="00372366"/>
    <w:rsid w:val="00372537"/>
    <w:rsid w:val="00374628"/>
    <w:rsid w:val="003762DA"/>
    <w:rsid w:val="003767C0"/>
    <w:rsid w:val="00381242"/>
    <w:rsid w:val="0038766E"/>
    <w:rsid w:val="003935A9"/>
    <w:rsid w:val="00393EC0"/>
    <w:rsid w:val="003969C7"/>
    <w:rsid w:val="003A12C6"/>
    <w:rsid w:val="003A1936"/>
    <w:rsid w:val="003A2501"/>
    <w:rsid w:val="003A2F14"/>
    <w:rsid w:val="003A3E1F"/>
    <w:rsid w:val="003A477C"/>
    <w:rsid w:val="003A565F"/>
    <w:rsid w:val="003B1470"/>
    <w:rsid w:val="003B57AF"/>
    <w:rsid w:val="003B5E57"/>
    <w:rsid w:val="003B6BFB"/>
    <w:rsid w:val="003B6DB0"/>
    <w:rsid w:val="003C5B1B"/>
    <w:rsid w:val="003D0C45"/>
    <w:rsid w:val="003D11A8"/>
    <w:rsid w:val="003E1379"/>
    <w:rsid w:val="003E582E"/>
    <w:rsid w:val="003F22CE"/>
    <w:rsid w:val="003F2F8E"/>
    <w:rsid w:val="003F2FB9"/>
    <w:rsid w:val="003F374E"/>
    <w:rsid w:val="003F49F0"/>
    <w:rsid w:val="003F604B"/>
    <w:rsid w:val="00400EF4"/>
    <w:rsid w:val="00401780"/>
    <w:rsid w:val="00403E2E"/>
    <w:rsid w:val="0040420E"/>
    <w:rsid w:val="00407F04"/>
    <w:rsid w:val="004112F7"/>
    <w:rsid w:val="004119C7"/>
    <w:rsid w:val="00413B7E"/>
    <w:rsid w:val="00413DA2"/>
    <w:rsid w:val="004157AF"/>
    <w:rsid w:val="00420A4C"/>
    <w:rsid w:val="00434F67"/>
    <w:rsid w:val="00435AEC"/>
    <w:rsid w:val="004361EB"/>
    <w:rsid w:val="0043707B"/>
    <w:rsid w:val="00440CD0"/>
    <w:rsid w:val="0044226E"/>
    <w:rsid w:val="00443704"/>
    <w:rsid w:val="00447E6A"/>
    <w:rsid w:val="004506CC"/>
    <w:rsid w:val="0045464A"/>
    <w:rsid w:val="0045557D"/>
    <w:rsid w:val="00455F44"/>
    <w:rsid w:val="0046330A"/>
    <w:rsid w:val="00463ACA"/>
    <w:rsid w:val="00463CB4"/>
    <w:rsid w:val="004642FE"/>
    <w:rsid w:val="00470C69"/>
    <w:rsid w:val="004726C8"/>
    <w:rsid w:val="00476ECA"/>
    <w:rsid w:val="00477B1A"/>
    <w:rsid w:val="00483480"/>
    <w:rsid w:val="00484798"/>
    <w:rsid w:val="004860C3"/>
    <w:rsid w:val="00491BF0"/>
    <w:rsid w:val="00492FA1"/>
    <w:rsid w:val="00497549"/>
    <w:rsid w:val="004A24F0"/>
    <w:rsid w:val="004A5E41"/>
    <w:rsid w:val="004A75B8"/>
    <w:rsid w:val="004C1F95"/>
    <w:rsid w:val="004C4DBA"/>
    <w:rsid w:val="004C5EAB"/>
    <w:rsid w:val="004C6150"/>
    <w:rsid w:val="004C6A6C"/>
    <w:rsid w:val="004C6F0B"/>
    <w:rsid w:val="004C6F22"/>
    <w:rsid w:val="004C7623"/>
    <w:rsid w:val="004D07DF"/>
    <w:rsid w:val="004D611F"/>
    <w:rsid w:val="004D7D51"/>
    <w:rsid w:val="004E3F50"/>
    <w:rsid w:val="004E58AB"/>
    <w:rsid w:val="004E6188"/>
    <w:rsid w:val="004E7880"/>
    <w:rsid w:val="004F0BBC"/>
    <w:rsid w:val="00501DC6"/>
    <w:rsid w:val="00502239"/>
    <w:rsid w:val="00502CFD"/>
    <w:rsid w:val="00502FF2"/>
    <w:rsid w:val="00507FE8"/>
    <w:rsid w:val="00512D9D"/>
    <w:rsid w:val="00517586"/>
    <w:rsid w:val="00520554"/>
    <w:rsid w:val="0052251E"/>
    <w:rsid w:val="005278AA"/>
    <w:rsid w:val="005334EE"/>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374A"/>
    <w:rsid w:val="00566375"/>
    <w:rsid w:val="00567F95"/>
    <w:rsid w:val="00572476"/>
    <w:rsid w:val="00573C88"/>
    <w:rsid w:val="005759AF"/>
    <w:rsid w:val="005770BB"/>
    <w:rsid w:val="00580AB2"/>
    <w:rsid w:val="00582092"/>
    <w:rsid w:val="005852C9"/>
    <w:rsid w:val="00585A68"/>
    <w:rsid w:val="005868C9"/>
    <w:rsid w:val="00586A03"/>
    <w:rsid w:val="00586B6F"/>
    <w:rsid w:val="00586E84"/>
    <w:rsid w:val="005877F6"/>
    <w:rsid w:val="00592F71"/>
    <w:rsid w:val="00592FF1"/>
    <w:rsid w:val="005A495B"/>
    <w:rsid w:val="005A56EA"/>
    <w:rsid w:val="005A61D7"/>
    <w:rsid w:val="005B1D82"/>
    <w:rsid w:val="005B7896"/>
    <w:rsid w:val="005C0FD4"/>
    <w:rsid w:val="005C31E6"/>
    <w:rsid w:val="005C3479"/>
    <w:rsid w:val="005C4816"/>
    <w:rsid w:val="005C5E8D"/>
    <w:rsid w:val="005D00AF"/>
    <w:rsid w:val="005D3E66"/>
    <w:rsid w:val="005D5118"/>
    <w:rsid w:val="005D7C08"/>
    <w:rsid w:val="005E04C9"/>
    <w:rsid w:val="005E0A69"/>
    <w:rsid w:val="005E5029"/>
    <w:rsid w:val="005E58CC"/>
    <w:rsid w:val="005E6299"/>
    <w:rsid w:val="005F0504"/>
    <w:rsid w:val="005F35E4"/>
    <w:rsid w:val="005F46BB"/>
    <w:rsid w:val="005F5E49"/>
    <w:rsid w:val="00600CEF"/>
    <w:rsid w:val="00601094"/>
    <w:rsid w:val="00601B4B"/>
    <w:rsid w:val="00603813"/>
    <w:rsid w:val="00606EDF"/>
    <w:rsid w:val="006128AC"/>
    <w:rsid w:val="0061542D"/>
    <w:rsid w:val="00620715"/>
    <w:rsid w:val="00624187"/>
    <w:rsid w:val="006251EA"/>
    <w:rsid w:val="006252AF"/>
    <w:rsid w:val="006304CC"/>
    <w:rsid w:val="00631DEC"/>
    <w:rsid w:val="0063400A"/>
    <w:rsid w:val="00634CC2"/>
    <w:rsid w:val="00635435"/>
    <w:rsid w:val="00636109"/>
    <w:rsid w:val="006368C3"/>
    <w:rsid w:val="00637F2B"/>
    <w:rsid w:val="00646FBB"/>
    <w:rsid w:val="006476CE"/>
    <w:rsid w:val="006503D3"/>
    <w:rsid w:val="00654CF6"/>
    <w:rsid w:val="00655583"/>
    <w:rsid w:val="00656945"/>
    <w:rsid w:val="00661BA3"/>
    <w:rsid w:val="0066223F"/>
    <w:rsid w:val="00663C55"/>
    <w:rsid w:val="0067483E"/>
    <w:rsid w:val="0067674F"/>
    <w:rsid w:val="00676AA0"/>
    <w:rsid w:val="00676B2B"/>
    <w:rsid w:val="00681700"/>
    <w:rsid w:val="00692A03"/>
    <w:rsid w:val="0069307E"/>
    <w:rsid w:val="006935CB"/>
    <w:rsid w:val="0069514B"/>
    <w:rsid w:val="00696743"/>
    <w:rsid w:val="00697D38"/>
    <w:rsid w:val="006A0450"/>
    <w:rsid w:val="006A2FA2"/>
    <w:rsid w:val="006A6A77"/>
    <w:rsid w:val="006A76FC"/>
    <w:rsid w:val="006B10BA"/>
    <w:rsid w:val="006B21F9"/>
    <w:rsid w:val="006B2CD0"/>
    <w:rsid w:val="006B4C50"/>
    <w:rsid w:val="006B690E"/>
    <w:rsid w:val="006B70FF"/>
    <w:rsid w:val="006B7FF7"/>
    <w:rsid w:val="006C01BE"/>
    <w:rsid w:val="006D0719"/>
    <w:rsid w:val="006D09F2"/>
    <w:rsid w:val="006D1409"/>
    <w:rsid w:val="006D3D8B"/>
    <w:rsid w:val="006E1B8C"/>
    <w:rsid w:val="006E7D40"/>
    <w:rsid w:val="006F0FCE"/>
    <w:rsid w:val="006F31BB"/>
    <w:rsid w:val="006F36D3"/>
    <w:rsid w:val="006F6030"/>
    <w:rsid w:val="006F62A0"/>
    <w:rsid w:val="006F6542"/>
    <w:rsid w:val="006F75D1"/>
    <w:rsid w:val="006F7B4F"/>
    <w:rsid w:val="00703446"/>
    <w:rsid w:val="007035CE"/>
    <w:rsid w:val="007045EC"/>
    <w:rsid w:val="007118A7"/>
    <w:rsid w:val="00711B4E"/>
    <w:rsid w:val="0071236C"/>
    <w:rsid w:val="007139E4"/>
    <w:rsid w:val="007177BB"/>
    <w:rsid w:val="00720E8A"/>
    <w:rsid w:val="007213DC"/>
    <w:rsid w:val="0072184F"/>
    <w:rsid w:val="007221B0"/>
    <w:rsid w:val="00727891"/>
    <w:rsid w:val="007305AB"/>
    <w:rsid w:val="0073090C"/>
    <w:rsid w:val="00731C48"/>
    <w:rsid w:val="0073200D"/>
    <w:rsid w:val="00732750"/>
    <w:rsid w:val="007341A1"/>
    <w:rsid w:val="00735E4B"/>
    <w:rsid w:val="007364B5"/>
    <w:rsid w:val="00740576"/>
    <w:rsid w:val="007422E5"/>
    <w:rsid w:val="00742ACC"/>
    <w:rsid w:val="007458B4"/>
    <w:rsid w:val="00746717"/>
    <w:rsid w:val="007467DE"/>
    <w:rsid w:val="007477C2"/>
    <w:rsid w:val="007503CF"/>
    <w:rsid w:val="00753361"/>
    <w:rsid w:val="007571EB"/>
    <w:rsid w:val="007639EB"/>
    <w:rsid w:val="00764437"/>
    <w:rsid w:val="00764D39"/>
    <w:rsid w:val="00767F86"/>
    <w:rsid w:val="00772B9E"/>
    <w:rsid w:val="00773D1C"/>
    <w:rsid w:val="00774A96"/>
    <w:rsid w:val="007752BE"/>
    <w:rsid w:val="00775C02"/>
    <w:rsid w:val="007763D4"/>
    <w:rsid w:val="00777BF5"/>
    <w:rsid w:val="00781498"/>
    <w:rsid w:val="00784A5B"/>
    <w:rsid w:val="0079007B"/>
    <w:rsid w:val="007903B1"/>
    <w:rsid w:val="00791DF6"/>
    <w:rsid w:val="00793211"/>
    <w:rsid w:val="0079589E"/>
    <w:rsid w:val="00795DE4"/>
    <w:rsid w:val="007A5697"/>
    <w:rsid w:val="007A6D30"/>
    <w:rsid w:val="007A7822"/>
    <w:rsid w:val="007B00C4"/>
    <w:rsid w:val="007B0343"/>
    <w:rsid w:val="007B0587"/>
    <w:rsid w:val="007B2825"/>
    <w:rsid w:val="007B4D43"/>
    <w:rsid w:val="007B4D6A"/>
    <w:rsid w:val="007B6685"/>
    <w:rsid w:val="007C0C37"/>
    <w:rsid w:val="007C1804"/>
    <w:rsid w:val="007C3478"/>
    <w:rsid w:val="007C701D"/>
    <w:rsid w:val="007D23BF"/>
    <w:rsid w:val="007D2611"/>
    <w:rsid w:val="007D60DB"/>
    <w:rsid w:val="007D615F"/>
    <w:rsid w:val="007E05FE"/>
    <w:rsid w:val="007E0C57"/>
    <w:rsid w:val="007E5512"/>
    <w:rsid w:val="007F403B"/>
    <w:rsid w:val="00800176"/>
    <w:rsid w:val="00801882"/>
    <w:rsid w:val="00802408"/>
    <w:rsid w:val="008100C8"/>
    <w:rsid w:val="00813ACF"/>
    <w:rsid w:val="00825B11"/>
    <w:rsid w:val="0082761A"/>
    <w:rsid w:val="00830124"/>
    <w:rsid w:val="00831A1E"/>
    <w:rsid w:val="00832600"/>
    <w:rsid w:val="0083386A"/>
    <w:rsid w:val="00833C7A"/>
    <w:rsid w:val="00835672"/>
    <w:rsid w:val="00836244"/>
    <w:rsid w:val="0084216B"/>
    <w:rsid w:val="0084342C"/>
    <w:rsid w:val="00845109"/>
    <w:rsid w:val="00846FB4"/>
    <w:rsid w:val="00861FDD"/>
    <w:rsid w:val="0086227A"/>
    <w:rsid w:val="0086783C"/>
    <w:rsid w:val="00867A7E"/>
    <w:rsid w:val="00870D02"/>
    <w:rsid w:val="00870D28"/>
    <w:rsid w:val="00872E0F"/>
    <w:rsid w:val="008763EA"/>
    <w:rsid w:val="00880F39"/>
    <w:rsid w:val="00881BD6"/>
    <w:rsid w:val="00882AB7"/>
    <w:rsid w:val="0088575E"/>
    <w:rsid w:val="00885CAF"/>
    <w:rsid w:val="00892ACF"/>
    <w:rsid w:val="0089353F"/>
    <w:rsid w:val="00896EAB"/>
    <w:rsid w:val="008A3C15"/>
    <w:rsid w:val="008A53D0"/>
    <w:rsid w:val="008B0795"/>
    <w:rsid w:val="008B0C0F"/>
    <w:rsid w:val="008B30E9"/>
    <w:rsid w:val="008B558C"/>
    <w:rsid w:val="008B6C7E"/>
    <w:rsid w:val="008B7A42"/>
    <w:rsid w:val="008C113C"/>
    <w:rsid w:val="008C1984"/>
    <w:rsid w:val="008C30C4"/>
    <w:rsid w:val="008C3BF5"/>
    <w:rsid w:val="008C502A"/>
    <w:rsid w:val="008D0BF3"/>
    <w:rsid w:val="008D2503"/>
    <w:rsid w:val="008D556A"/>
    <w:rsid w:val="008E411E"/>
    <w:rsid w:val="008E4653"/>
    <w:rsid w:val="008E6170"/>
    <w:rsid w:val="008E7A24"/>
    <w:rsid w:val="008F1C48"/>
    <w:rsid w:val="008F5667"/>
    <w:rsid w:val="008F57E9"/>
    <w:rsid w:val="008F67CB"/>
    <w:rsid w:val="009003BF"/>
    <w:rsid w:val="009108B8"/>
    <w:rsid w:val="00910F76"/>
    <w:rsid w:val="00915A2F"/>
    <w:rsid w:val="00917E2A"/>
    <w:rsid w:val="00923223"/>
    <w:rsid w:val="009238FC"/>
    <w:rsid w:val="00927BA0"/>
    <w:rsid w:val="00927E3C"/>
    <w:rsid w:val="009300DD"/>
    <w:rsid w:val="00930CF2"/>
    <w:rsid w:val="00930FF5"/>
    <w:rsid w:val="00931DEC"/>
    <w:rsid w:val="00935B11"/>
    <w:rsid w:val="009361D3"/>
    <w:rsid w:val="00936F46"/>
    <w:rsid w:val="0094375E"/>
    <w:rsid w:val="00953CE9"/>
    <w:rsid w:val="00954C60"/>
    <w:rsid w:val="00955A1E"/>
    <w:rsid w:val="00960ACF"/>
    <w:rsid w:val="00961017"/>
    <w:rsid w:val="00961335"/>
    <w:rsid w:val="009627DA"/>
    <w:rsid w:val="00964046"/>
    <w:rsid w:val="00964EE9"/>
    <w:rsid w:val="00965C05"/>
    <w:rsid w:val="00966D58"/>
    <w:rsid w:val="009723B1"/>
    <w:rsid w:val="00976721"/>
    <w:rsid w:val="00981166"/>
    <w:rsid w:val="00985AC0"/>
    <w:rsid w:val="009867A9"/>
    <w:rsid w:val="00987D75"/>
    <w:rsid w:val="009914FD"/>
    <w:rsid w:val="00991DED"/>
    <w:rsid w:val="00992892"/>
    <w:rsid w:val="00995208"/>
    <w:rsid w:val="009B4BC4"/>
    <w:rsid w:val="009B6F6E"/>
    <w:rsid w:val="009C052A"/>
    <w:rsid w:val="009C273F"/>
    <w:rsid w:val="009C2E52"/>
    <w:rsid w:val="009C5742"/>
    <w:rsid w:val="009C634D"/>
    <w:rsid w:val="009D09B2"/>
    <w:rsid w:val="009D1894"/>
    <w:rsid w:val="009D7A62"/>
    <w:rsid w:val="009D7E3A"/>
    <w:rsid w:val="009E5EE5"/>
    <w:rsid w:val="009E793F"/>
    <w:rsid w:val="009F005A"/>
    <w:rsid w:val="009F060E"/>
    <w:rsid w:val="009F4A60"/>
    <w:rsid w:val="009F62C3"/>
    <w:rsid w:val="00A009E1"/>
    <w:rsid w:val="00A0196D"/>
    <w:rsid w:val="00A04CAD"/>
    <w:rsid w:val="00A05EBA"/>
    <w:rsid w:val="00A06538"/>
    <w:rsid w:val="00A112D1"/>
    <w:rsid w:val="00A15221"/>
    <w:rsid w:val="00A174BA"/>
    <w:rsid w:val="00A17910"/>
    <w:rsid w:val="00A17E00"/>
    <w:rsid w:val="00A21FEB"/>
    <w:rsid w:val="00A23187"/>
    <w:rsid w:val="00A23AA3"/>
    <w:rsid w:val="00A23B5F"/>
    <w:rsid w:val="00A31791"/>
    <w:rsid w:val="00A33A06"/>
    <w:rsid w:val="00A3443B"/>
    <w:rsid w:val="00A358EB"/>
    <w:rsid w:val="00A37343"/>
    <w:rsid w:val="00A4388C"/>
    <w:rsid w:val="00A448BE"/>
    <w:rsid w:val="00A451A3"/>
    <w:rsid w:val="00A4567F"/>
    <w:rsid w:val="00A45F50"/>
    <w:rsid w:val="00A46714"/>
    <w:rsid w:val="00A54843"/>
    <w:rsid w:val="00A5593E"/>
    <w:rsid w:val="00A64CCC"/>
    <w:rsid w:val="00A64FA1"/>
    <w:rsid w:val="00A70562"/>
    <w:rsid w:val="00A70DAE"/>
    <w:rsid w:val="00A722F2"/>
    <w:rsid w:val="00A76434"/>
    <w:rsid w:val="00A87993"/>
    <w:rsid w:val="00A9111A"/>
    <w:rsid w:val="00A939FC"/>
    <w:rsid w:val="00A96D7B"/>
    <w:rsid w:val="00AA0DFF"/>
    <w:rsid w:val="00AA48DB"/>
    <w:rsid w:val="00AA6D6C"/>
    <w:rsid w:val="00AA7036"/>
    <w:rsid w:val="00AA76E0"/>
    <w:rsid w:val="00AB4B93"/>
    <w:rsid w:val="00AB7BC7"/>
    <w:rsid w:val="00AC0555"/>
    <w:rsid w:val="00AC3CE1"/>
    <w:rsid w:val="00AC3E78"/>
    <w:rsid w:val="00AD2779"/>
    <w:rsid w:val="00AD5827"/>
    <w:rsid w:val="00AD5D52"/>
    <w:rsid w:val="00AD6419"/>
    <w:rsid w:val="00AD664C"/>
    <w:rsid w:val="00AE1C40"/>
    <w:rsid w:val="00AE1CDC"/>
    <w:rsid w:val="00AF4078"/>
    <w:rsid w:val="00AF4596"/>
    <w:rsid w:val="00AF4BF5"/>
    <w:rsid w:val="00AF62B4"/>
    <w:rsid w:val="00B04924"/>
    <w:rsid w:val="00B0516F"/>
    <w:rsid w:val="00B0648B"/>
    <w:rsid w:val="00B0788D"/>
    <w:rsid w:val="00B128F3"/>
    <w:rsid w:val="00B12E42"/>
    <w:rsid w:val="00B14156"/>
    <w:rsid w:val="00B147A7"/>
    <w:rsid w:val="00B174A4"/>
    <w:rsid w:val="00B208FC"/>
    <w:rsid w:val="00B21CD1"/>
    <w:rsid w:val="00B26A86"/>
    <w:rsid w:val="00B3135E"/>
    <w:rsid w:val="00B35BA3"/>
    <w:rsid w:val="00B40276"/>
    <w:rsid w:val="00B40CB7"/>
    <w:rsid w:val="00B41B5C"/>
    <w:rsid w:val="00B41E08"/>
    <w:rsid w:val="00B4362D"/>
    <w:rsid w:val="00B43F73"/>
    <w:rsid w:val="00B45AEE"/>
    <w:rsid w:val="00B52ABC"/>
    <w:rsid w:val="00B52BCB"/>
    <w:rsid w:val="00B53034"/>
    <w:rsid w:val="00B60C6E"/>
    <w:rsid w:val="00B62C19"/>
    <w:rsid w:val="00B6458E"/>
    <w:rsid w:val="00B646E8"/>
    <w:rsid w:val="00B701DE"/>
    <w:rsid w:val="00B70D16"/>
    <w:rsid w:val="00B73B6F"/>
    <w:rsid w:val="00B74BB5"/>
    <w:rsid w:val="00B74E8C"/>
    <w:rsid w:val="00B83525"/>
    <w:rsid w:val="00B847F1"/>
    <w:rsid w:val="00B852CF"/>
    <w:rsid w:val="00B86BF1"/>
    <w:rsid w:val="00B871C6"/>
    <w:rsid w:val="00B908D5"/>
    <w:rsid w:val="00B96B13"/>
    <w:rsid w:val="00BA5931"/>
    <w:rsid w:val="00BA643D"/>
    <w:rsid w:val="00BA77B1"/>
    <w:rsid w:val="00BB5965"/>
    <w:rsid w:val="00BB6E73"/>
    <w:rsid w:val="00BC1FEC"/>
    <w:rsid w:val="00BC4002"/>
    <w:rsid w:val="00BC4039"/>
    <w:rsid w:val="00BC4788"/>
    <w:rsid w:val="00BD1BFA"/>
    <w:rsid w:val="00BD239B"/>
    <w:rsid w:val="00BD2CBA"/>
    <w:rsid w:val="00BD424B"/>
    <w:rsid w:val="00BD75C8"/>
    <w:rsid w:val="00BD7A67"/>
    <w:rsid w:val="00BE14FC"/>
    <w:rsid w:val="00BE18B2"/>
    <w:rsid w:val="00BE3415"/>
    <w:rsid w:val="00BE47A9"/>
    <w:rsid w:val="00BE73AA"/>
    <w:rsid w:val="00BF2DEB"/>
    <w:rsid w:val="00BF3BDE"/>
    <w:rsid w:val="00BF53AE"/>
    <w:rsid w:val="00BF58A6"/>
    <w:rsid w:val="00C0020E"/>
    <w:rsid w:val="00C00D89"/>
    <w:rsid w:val="00C00E4C"/>
    <w:rsid w:val="00C063BE"/>
    <w:rsid w:val="00C07CE5"/>
    <w:rsid w:val="00C17EE9"/>
    <w:rsid w:val="00C20199"/>
    <w:rsid w:val="00C212DF"/>
    <w:rsid w:val="00C34E2D"/>
    <w:rsid w:val="00C368A2"/>
    <w:rsid w:val="00C42190"/>
    <w:rsid w:val="00C43F08"/>
    <w:rsid w:val="00C4463C"/>
    <w:rsid w:val="00C44F54"/>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77EC"/>
    <w:rsid w:val="00C7784E"/>
    <w:rsid w:val="00C80836"/>
    <w:rsid w:val="00C83831"/>
    <w:rsid w:val="00C85FB7"/>
    <w:rsid w:val="00C86EF1"/>
    <w:rsid w:val="00C87051"/>
    <w:rsid w:val="00CA0C53"/>
    <w:rsid w:val="00CA138A"/>
    <w:rsid w:val="00CA17E5"/>
    <w:rsid w:val="00CA2B62"/>
    <w:rsid w:val="00CA3030"/>
    <w:rsid w:val="00CA3CD3"/>
    <w:rsid w:val="00CA5876"/>
    <w:rsid w:val="00CB0495"/>
    <w:rsid w:val="00CB0CCF"/>
    <w:rsid w:val="00CB3E3D"/>
    <w:rsid w:val="00CC3FAB"/>
    <w:rsid w:val="00CC4D44"/>
    <w:rsid w:val="00CD15B3"/>
    <w:rsid w:val="00CD345C"/>
    <w:rsid w:val="00CD76FF"/>
    <w:rsid w:val="00CE03A7"/>
    <w:rsid w:val="00CE64EF"/>
    <w:rsid w:val="00CF07A6"/>
    <w:rsid w:val="00CF0FFE"/>
    <w:rsid w:val="00CF52B0"/>
    <w:rsid w:val="00CF586B"/>
    <w:rsid w:val="00CF7CF7"/>
    <w:rsid w:val="00D03886"/>
    <w:rsid w:val="00D04600"/>
    <w:rsid w:val="00D058EE"/>
    <w:rsid w:val="00D1163E"/>
    <w:rsid w:val="00D13DFA"/>
    <w:rsid w:val="00D15918"/>
    <w:rsid w:val="00D1596B"/>
    <w:rsid w:val="00D23B2E"/>
    <w:rsid w:val="00D27127"/>
    <w:rsid w:val="00D34579"/>
    <w:rsid w:val="00D351D3"/>
    <w:rsid w:val="00D36535"/>
    <w:rsid w:val="00D43310"/>
    <w:rsid w:val="00D4423F"/>
    <w:rsid w:val="00D4737E"/>
    <w:rsid w:val="00D473B7"/>
    <w:rsid w:val="00D47A8B"/>
    <w:rsid w:val="00D5050A"/>
    <w:rsid w:val="00D52F4C"/>
    <w:rsid w:val="00D53374"/>
    <w:rsid w:val="00D55C34"/>
    <w:rsid w:val="00D613DA"/>
    <w:rsid w:val="00D65CE2"/>
    <w:rsid w:val="00D674CF"/>
    <w:rsid w:val="00D67AB8"/>
    <w:rsid w:val="00D72480"/>
    <w:rsid w:val="00D7295D"/>
    <w:rsid w:val="00D76010"/>
    <w:rsid w:val="00D80DD9"/>
    <w:rsid w:val="00D90426"/>
    <w:rsid w:val="00D922E2"/>
    <w:rsid w:val="00D95BAC"/>
    <w:rsid w:val="00D97D9D"/>
    <w:rsid w:val="00DA79FF"/>
    <w:rsid w:val="00DB02DB"/>
    <w:rsid w:val="00DB1E2B"/>
    <w:rsid w:val="00DB2E4F"/>
    <w:rsid w:val="00DB6554"/>
    <w:rsid w:val="00DC360B"/>
    <w:rsid w:val="00DC426A"/>
    <w:rsid w:val="00DD3430"/>
    <w:rsid w:val="00DD4DEB"/>
    <w:rsid w:val="00DD5BAF"/>
    <w:rsid w:val="00DD5D0F"/>
    <w:rsid w:val="00DD7056"/>
    <w:rsid w:val="00DD763F"/>
    <w:rsid w:val="00DD7900"/>
    <w:rsid w:val="00DE1A1C"/>
    <w:rsid w:val="00DE1CA0"/>
    <w:rsid w:val="00DE370A"/>
    <w:rsid w:val="00DE618D"/>
    <w:rsid w:val="00DE7E64"/>
    <w:rsid w:val="00DF05DB"/>
    <w:rsid w:val="00E00F42"/>
    <w:rsid w:val="00E014A6"/>
    <w:rsid w:val="00E02CEA"/>
    <w:rsid w:val="00E0387F"/>
    <w:rsid w:val="00E04D4B"/>
    <w:rsid w:val="00E056CA"/>
    <w:rsid w:val="00E070B5"/>
    <w:rsid w:val="00E12A33"/>
    <w:rsid w:val="00E13411"/>
    <w:rsid w:val="00E1366E"/>
    <w:rsid w:val="00E13CF7"/>
    <w:rsid w:val="00E17DAE"/>
    <w:rsid w:val="00E26533"/>
    <w:rsid w:val="00E303F7"/>
    <w:rsid w:val="00E30714"/>
    <w:rsid w:val="00E32B6F"/>
    <w:rsid w:val="00E334F0"/>
    <w:rsid w:val="00E33A15"/>
    <w:rsid w:val="00E369B3"/>
    <w:rsid w:val="00E374F0"/>
    <w:rsid w:val="00E41763"/>
    <w:rsid w:val="00E503A3"/>
    <w:rsid w:val="00E53B1C"/>
    <w:rsid w:val="00E56503"/>
    <w:rsid w:val="00E607AB"/>
    <w:rsid w:val="00E607E2"/>
    <w:rsid w:val="00E61798"/>
    <w:rsid w:val="00E63D31"/>
    <w:rsid w:val="00E658BE"/>
    <w:rsid w:val="00E7091A"/>
    <w:rsid w:val="00E7122E"/>
    <w:rsid w:val="00E71259"/>
    <w:rsid w:val="00E82156"/>
    <w:rsid w:val="00E85579"/>
    <w:rsid w:val="00E871F1"/>
    <w:rsid w:val="00E876F5"/>
    <w:rsid w:val="00E909B3"/>
    <w:rsid w:val="00E968CF"/>
    <w:rsid w:val="00EA152B"/>
    <w:rsid w:val="00EA3DFF"/>
    <w:rsid w:val="00EB226C"/>
    <w:rsid w:val="00EB4048"/>
    <w:rsid w:val="00EB5814"/>
    <w:rsid w:val="00EB6B3F"/>
    <w:rsid w:val="00EB77BA"/>
    <w:rsid w:val="00EB7F9C"/>
    <w:rsid w:val="00EC0994"/>
    <w:rsid w:val="00EC6044"/>
    <w:rsid w:val="00EC68FF"/>
    <w:rsid w:val="00EC6982"/>
    <w:rsid w:val="00ED016E"/>
    <w:rsid w:val="00ED113C"/>
    <w:rsid w:val="00ED2A85"/>
    <w:rsid w:val="00EE59C9"/>
    <w:rsid w:val="00EE78B2"/>
    <w:rsid w:val="00EF4558"/>
    <w:rsid w:val="00EF52AB"/>
    <w:rsid w:val="00F00286"/>
    <w:rsid w:val="00F03651"/>
    <w:rsid w:val="00F060AA"/>
    <w:rsid w:val="00F06B84"/>
    <w:rsid w:val="00F10C97"/>
    <w:rsid w:val="00F12552"/>
    <w:rsid w:val="00F135DB"/>
    <w:rsid w:val="00F137C2"/>
    <w:rsid w:val="00F144BB"/>
    <w:rsid w:val="00F15B03"/>
    <w:rsid w:val="00F163AE"/>
    <w:rsid w:val="00F20F9C"/>
    <w:rsid w:val="00F23C2B"/>
    <w:rsid w:val="00F300F7"/>
    <w:rsid w:val="00F305F9"/>
    <w:rsid w:val="00F3169A"/>
    <w:rsid w:val="00F31E88"/>
    <w:rsid w:val="00F37F62"/>
    <w:rsid w:val="00F40680"/>
    <w:rsid w:val="00F4340B"/>
    <w:rsid w:val="00F44E1D"/>
    <w:rsid w:val="00F45A1A"/>
    <w:rsid w:val="00F50BA2"/>
    <w:rsid w:val="00F52175"/>
    <w:rsid w:val="00F52A69"/>
    <w:rsid w:val="00F56683"/>
    <w:rsid w:val="00F602A9"/>
    <w:rsid w:val="00F60E76"/>
    <w:rsid w:val="00F65F02"/>
    <w:rsid w:val="00F72186"/>
    <w:rsid w:val="00F734BF"/>
    <w:rsid w:val="00F73A04"/>
    <w:rsid w:val="00F757A6"/>
    <w:rsid w:val="00F84879"/>
    <w:rsid w:val="00F8613C"/>
    <w:rsid w:val="00F90B71"/>
    <w:rsid w:val="00F925CB"/>
    <w:rsid w:val="00F92FA8"/>
    <w:rsid w:val="00F93B98"/>
    <w:rsid w:val="00F94557"/>
    <w:rsid w:val="00FA088D"/>
    <w:rsid w:val="00FA138F"/>
    <w:rsid w:val="00FA13CB"/>
    <w:rsid w:val="00FA180A"/>
    <w:rsid w:val="00FA6257"/>
    <w:rsid w:val="00FA62AE"/>
    <w:rsid w:val="00FA63F1"/>
    <w:rsid w:val="00FA65FB"/>
    <w:rsid w:val="00FB1C45"/>
    <w:rsid w:val="00FB1D95"/>
    <w:rsid w:val="00FB2707"/>
    <w:rsid w:val="00FB2C77"/>
    <w:rsid w:val="00FB433B"/>
    <w:rsid w:val="00FC0121"/>
    <w:rsid w:val="00FC1F29"/>
    <w:rsid w:val="00FC36B9"/>
    <w:rsid w:val="00FC4D67"/>
    <w:rsid w:val="00FC4F35"/>
    <w:rsid w:val="00FD6875"/>
    <w:rsid w:val="00FE0272"/>
    <w:rsid w:val="00FE04CE"/>
    <w:rsid w:val="00FE152C"/>
    <w:rsid w:val="00FE2D29"/>
    <w:rsid w:val="00FE3CC9"/>
    <w:rsid w:val="00FE4057"/>
    <w:rsid w:val="00FE42F7"/>
    <w:rsid w:val="00FE675C"/>
    <w:rsid w:val="00FF04AB"/>
    <w:rsid w:val="00FF0DB2"/>
    <w:rsid w:val="00FF2F69"/>
    <w:rsid w:val="00FF617C"/>
    <w:rsid w:val="01214A1E"/>
    <w:rsid w:val="014F1B49"/>
    <w:rsid w:val="0161201C"/>
    <w:rsid w:val="01674AD8"/>
    <w:rsid w:val="017B15F7"/>
    <w:rsid w:val="019B2A51"/>
    <w:rsid w:val="01BB069A"/>
    <w:rsid w:val="01EE6DBE"/>
    <w:rsid w:val="020E7F3F"/>
    <w:rsid w:val="021A6004"/>
    <w:rsid w:val="022E08B9"/>
    <w:rsid w:val="023A07E4"/>
    <w:rsid w:val="025D291A"/>
    <w:rsid w:val="027202B1"/>
    <w:rsid w:val="02721F48"/>
    <w:rsid w:val="02805163"/>
    <w:rsid w:val="02815E8D"/>
    <w:rsid w:val="02E41BF4"/>
    <w:rsid w:val="02F07CB0"/>
    <w:rsid w:val="030D75EF"/>
    <w:rsid w:val="031168BC"/>
    <w:rsid w:val="03426C59"/>
    <w:rsid w:val="03433AF1"/>
    <w:rsid w:val="03501AE4"/>
    <w:rsid w:val="03716722"/>
    <w:rsid w:val="039B623A"/>
    <w:rsid w:val="03B44AA5"/>
    <w:rsid w:val="03DE4EC3"/>
    <w:rsid w:val="040020A7"/>
    <w:rsid w:val="04473247"/>
    <w:rsid w:val="044D2B93"/>
    <w:rsid w:val="045E3922"/>
    <w:rsid w:val="04833676"/>
    <w:rsid w:val="04930DBB"/>
    <w:rsid w:val="04A2371F"/>
    <w:rsid w:val="04A53BA4"/>
    <w:rsid w:val="04AA1834"/>
    <w:rsid w:val="04D17C83"/>
    <w:rsid w:val="04E374DE"/>
    <w:rsid w:val="04FF00EB"/>
    <w:rsid w:val="0501459E"/>
    <w:rsid w:val="05175FCF"/>
    <w:rsid w:val="052263A0"/>
    <w:rsid w:val="054E23E8"/>
    <w:rsid w:val="05586075"/>
    <w:rsid w:val="055F3491"/>
    <w:rsid w:val="058B5F67"/>
    <w:rsid w:val="058E5789"/>
    <w:rsid w:val="059C5E7A"/>
    <w:rsid w:val="059F3F35"/>
    <w:rsid w:val="05AB2DB2"/>
    <w:rsid w:val="05C127AF"/>
    <w:rsid w:val="05C342DE"/>
    <w:rsid w:val="05D56659"/>
    <w:rsid w:val="05EB76F4"/>
    <w:rsid w:val="05EC4B85"/>
    <w:rsid w:val="05F56B6A"/>
    <w:rsid w:val="05F7106C"/>
    <w:rsid w:val="06027766"/>
    <w:rsid w:val="06305727"/>
    <w:rsid w:val="06322461"/>
    <w:rsid w:val="06647C6C"/>
    <w:rsid w:val="06665E33"/>
    <w:rsid w:val="06936D88"/>
    <w:rsid w:val="06A31CA0"/>
    <w:rsid w:val="06D31947"/>
    <w:rsid w:val="06D92562"/>
    <w:rsid w:val="06E760D7"/>
    <w:rsid w:val="06EA54F3"/>
    <w:rsid w:val="06F650AE"/>
    <w:rsid w:val="07073765"/>
    <w:rsid w:val="07075B45"/>
    <w:rsid w:val="070A76BD"/>
    <w:rsid w:val="072E5643"/>
    <w:rsid w:val="073D7196"/>
    <w:rsid w:val="07504429"/>
    <w:rsid w:val="07612720"/>
    <w:rsid w:val="07792B42"/>
    <w:rsid w:val="077E3D0B"/>
    <w:rsid w:val="078C511B"/>
    <w:rsid w:val="078D2D8A"/>
    <w:rsid w:val="07BE2A34"/>
    <w:rsid w:val="07D43E3E"/>
    <w:rsid w:val="07DF1893"/>
    <w:rsid w:val="07E53F70"/>
    <w:rsid w:val="07F03CBF"/>
    <w:rsid w:val="07F42B67"/>
    <w:rsid w:val="080D0CE3"/>
    <w:rsid w:val="086626CB"/>
    <w:rsid w:val="08790814"/>
    <w:rsid w:val="08817F9A"/>
    <w:rsid w:val="08933F38"/>
    <w:rsid w:val="089E56D2"/>
    <w:rsid w:val="08B472FE"/>
    <w:rsid w:val="08B614BD"/>
    <w:rsid w:val="08B937A7"/>
    <w:rsid w:val="08CD671D"/>
    <w:rsid w:val="08D83875"/>
    <w:rsid w:val="08F56067"/>
    <w:rsid w:val="08F56798"/>
    <w:rsid w:val="09072AF5"/>
    <w:rsid w:val="090D78C9"/>
    <w:rsid w:val="09101FB3"/>
    <w:rsid w:val="09296C06"/>
    <w:rsid w:val="09F8752F"/>
    <w:rsid w:val="0A0D439F"/>
    <w:rsid w:val="0A0F0D09"/>
    <w:rsid w:val="0A1D4600"/>
    <w:rsid w:val="0A1F68B2"/>
    <w:rsid w:val="0A210F95"/>
    <w:rsid w:val="0A2836E0"/>
    <w:rsid w:val="0A29194C"/>
    <w:rsid w:val="0A593073"/>
    <w:rsid w:val="0A8E5529"/>
    <w:rsid w:val="0AB44EF5"/>
    <w:rsid w:val="0AC159A6"/>
    <w:rsid w:val="0AE34BB1"/>
    <w:rsid w:val="0AED0B6E"/>
    <w:rsid w:val="0B222261"/>
    <w:rsid w:val="0B4B7099"/>
    <w:rsid w:val="0B747542"/>
    <w:rsid w:val="0B9E1A60"/>
    <w:rsid w:val="0BAD70EA"/>
    <w:rsid w:val="0BDE67BC"/>
    <w:rsid w:val="0BE60C5C"/>
    <w:rsid w:val="0C296CAE"/>
    <w:rsid w:val="0C365370"/>
    <w:rsid w:val="0C442C80"/>
    <w:rsid w:val="0C4B30F1"/>
    <w:rsid w:val="0C7376A8"/>
    <w:rsid w:val="0C801F53"/>
    <w:rsid w:val="0C8076E1"/>
    <w:rsid w:val="0CA97841"/>
    <w:rsid w:val="0CF22F65"/>
    <w:rsid w:val="0CFD3771"/>
    <w:rsid w:val="0D001BEA"/>
    <w:rsid w:val="0D0A7F77"/>
    <w:rsid w:val="0D4D0748"/>
    <w:rsid w:val="0D5F5515"/>
    <w:rsid w:val="0D8943DC"/>
    <w:rsid w:val="0D8A04E4"/>
    <w:rsid w:val="0D932BB8"/>
    <w:rsid w:val="0D98461B"/>
    <w:rsid w:val="0DB904D9"/>
    <w:rsid w:val="0DBB0918"/>
    <w:rsid w:val="0DE25782"/>
    <w:rsid w:val="0DEE271A"/>
    <w:rsid w:val="0DF148E8"/>
    <w:rsid w:val="0E210D90"/>
    <w:rsid w:val="0E280BF1"/>
    <w:rsid w:val="0E2A2732"/>
    <w:rsid w:val="0E2F7B01"/>
    <w:rsid w:val="0E4B5699"/>
    <w:rsid w:val="0E512E80"/>
    <w:rsid w:val="0E6E1A32"/>
    <w:rsid w:val="0E915BD0"/>
    <w:rsid w:val="0ECD4128"/>
    <w:rsid w:val="0EF05635"/>
    <w:rsid w:val="0F0913A4"/>
    <w:rsid w:val="0F360DD3"/>
    <w:rsid w:val="0F6B1793"/>
    <w:rsid w:val="0F7B5DFB"/>
    <w:rsid w:val="0FF37EF3"/>
    <w:rsid w:val="0FFE4C46"/>
    <w:rsid w:val="10064480"/>
    <w:rsid w:val="100930B7"/>
    <w:rsid w:val="10156FD1"/>
    <w:rsid w:val="10371F2F"/>
    <w:rsid w:val="105A6D80"/>
    <w:rsid w:val="107B23CF"/>
    <w:rsid w:val="107E1871"/>
    <w:rsid w:val="10824E25"/>
    <w:rsid w:val="10BD5626"/>
    <w:rsid w:val="10C85301"/>
    <w:rsid w:val="10F5099F"/>
    <w:rsid w:val="11046680"/>
    <w:rsid w:val="11423CF0"/>
    <w:rsid w:val="1159255C"/>
    <w:rsid w:val="115D038D"/>
    <w:rsid w:val="116741A8"/>
    <w:rsid w:val="11887A9E"/>
    <w:rsid w:val="119E030F"/>
    <w:rsid w:val="11AC3296"/>
    <w:rsid w:val="11BF3764"/>
    <w:rsid w:val="11BF5D6D"/>
    <w:rsid w:val="11EF6486"/>
    <w:rsid w:val="11F75962"/>
    <w:rsid w:val="11FC0451"/>
    <w:rsid w:val="120C4EB8"/>
    <w:rsid w:val="122D760A"/>
    <w:rsid w:val="12311F5A"/>
    <w:rsid w:val="12427601"/>
    <w:rsid w:val="125944FB"/>
    <w:rsid w:val="12624EB7"/>
    <w:rsid w:val="1282388F"/>
    <w:rsid w:val="128572E6"/>
    <w:rsid w:val="128A0F8B"/>
    <w:rsid w:val="129139EE"/>
    <w:rsid w:val="12B26461"/>
    <w:rsid w:val="12D228CA"/>
    <w:rsid w:val="12F36759"/>
    <w:rsid w:val="1300045E"/>
    <w:rsid w:val="130A6921"/>
    <w:rsid w:val="133D024F"/>
    <w:rsid w:val="133D6D87"/>
    <w:rsid w:val="13716BB4"/>
    <w:rsid w:val="13821EE1"/>
    <w:rsid w:val="13890B9C"/>
    <w:rsid w:val="13CB4137"/>
    <w:rsid w:val="13D11AEC"/>
    <w:rsid w:val="13F27FD8"/>
    <w:rsid w:val="13FA3C10"/>
    <w:rsid w:val="14197590"/>
    <w:rsid w:val="141C7AF8"/>
    <w:rsid w:val="142D5867"/>
    <w:rsid w:val="14311C3C"/>
    <w:rsid w:val="14A05CEA"/>
    <w:rsid w:val="14BA7BD0"/>
    <w:rsid w:val="14BE0DA8"/>
    <w:rsid w:val="14DF2DE8"/>
    <w:rsid w:val="14E20E88"/>
    <w:rsid w:val="14E71B9C"/>
    <w:rsid w:val="14ED24C4"/>
    <w:rsid w:val="14FE6E45"/>
    <w:rsid w:val="15030DD2"/>
    <w:rsid w:val="151246C1"/>
    <w:rsid w:val="15300534"/>
    <w:rsid w:val="15430081"/>
    <w:rsid w:val="1549179A"/>
    <w:rsid w:val="155855A0"/>
    <w:rsid w:val="15760A82"/>
    <w:rsid w:val="15885993"/>
    <w:rsid w:val="15943580"/>
    <w:rsid w:val="159F71E4"/>
    <w:rsid w:val="15DA54BE"/>
    <w:rsid w:val="15DE1A29"/>
    <w:rsid w:val="16883ABF"/>
    <w:rsid w:val="16AA3EEF"/>
    <w:rsid w:val="16BB65F1"/>
    <w:rsid w:val="16C30E50"/>
    <w:rsid w:val="16DF70C3"/>
    <w:rsid w:val="16E36A8E"/>
    <w:rsid w:val="17174321"/>
    <w:rsid w:val="17382C6C"/>
    <w:rsid w:val="17B2733D"/>
    <w:rsid w:val="17D32110"/>
    <w:rsid w:val="17EF333D"/>
    <w:rsid w:val="17F736BA"/>
    <w:rsid w:val="180B1C8C"/>
    <w:rsid w:val="1856228A"/>
    <w:rsid w:val="18655549"/>
    <w:rsid w:val="189D5730"/>
    <w:rsid w:val="18AE6BDF"/>
    <w:rsid w:val="18BC41FE"/>
    <w:rsid w:val="18D255E8"/>
    <w:rsid w:val="18E73115"/>
    <w:rsid w:val="190A6030"/>
    <w:rsid w:val="191206D3"/>
    <w:rsid w:val="192E2BD3"/>
    <w:rsid w:val="19362545"/>
    <w:rsid w:val="197B5636"/>
    <w:rsid w:val="198D30EC"/>
    <w:rsid w:val="1A200C49"/>
    <w:rsid w:val="1A2C7C12"/>
    <w:rsid w:val="1A382E26"/>
    <w:rsid w:val="1A5C16D9"/>
    <w:rsid w:val="1A5C6D63"/>
    <w:rsid w:val="1A7636B6"/>
    <w:rsid w:val="1A7B17BE"/>
    <w:rsid w:val="1AE133EF"/>
    <w:rsid w:val="1AEF4DAE"/>
    <w:rsid w:val="1AF77FAB"/>
    <w:rsid w:val="1AFB020E"/>
    <w:rsid w:val="1B492FF3"/>
    <w:rsid w:val="1B4950A4"/>
    <w:rsid w:val="1B556620"/>
    <w:rsid w:val="1BA324C2"/>
    <w:rsid w:val="1BA61267"/>
    <w:rsid w:val="1BAF2B44"/>
    <w:rsid w:val="1C2663BF"/>
    <w:rsid w:val="1C36433C"/>
    <w:rsid w:val="1C376E21"/>
    <w:rsid w:val="1C607E4F"/>
    <w:rsid w:val="1C721035"/>
    <w:rsid w:val="1C887DF5"/>
    <w:rsid w:val="1C89288A"/>
    <w:rsid w:val="1CA47846"/>
    <w:rsid w:val="1CD565D5"/>
    <w:rsid w:val="1CDF6675"/>
    <w:rsid w:val="1CEF14EF"/>
    <w:rsid w:val="1CF43006"/>
    <w:rsid w:val="1D077570"/>
    <w:rsid w:val="1D325942"/>
    <w:rsid w:val="1D672B1F"/>
    <w:rsid w:val="1D6B7DBF"/>
    <w:rsid w:val="1D8B3670"/>
    <w:rsid w:val="1DA73124"/>
    <w:rsid w:val="1DAE0556"/>
    <w:rsid w:val="1DB1270C"/>
    <w:rsid w:val="1DB67C12"/>
    <w:rsid w:val="1DD50B1E"/>
    <w:rsid w:val="1E060554"/>
    <w:rsid w:val="1E0F6E32"/>
    <w:rsid w:val="1E415560"/>
    <w:rsid w:val="1E5D18EA"/>
    <w:rsid w:val="1E604A81"/>
    <w:rsid w:val="1E706AC5"/>
    <w:rsid w:val="1E706D9C"/>
    <w:rsid w:val="1E841A5F"/>
    <w:rsid w:val="1EA33881"/>
    <w:rsid w:val="1EA40105"/>
    <w:rsid w:val="1EA972F9"/>
    <w:rsid w:val="1EBC7CC4"/>
    <w:rsid w:val="1EC665E8"/>
    <w:rsid w:val="1EDC6093"/>
    <w:rsid w:val="1F524DE1"/>
    <w:rsid w:val="1F69585D"/>
    <w:rsid w:val="1F6B38B0"/>
    <w:rsid w:val="1FCE2385"/>
    <w:rsid w:val="1FD0749B"/>
    <w:rsid w:val="1FE35ADC"/>
    <w:rsid w:val="202F28F9"/>
    <w:rsid w:val="203A5CDB"/>
    <w:rsid w:val="206823A1"/>
    <w:rsid w:val="207A43DF"/>
    <w:rsid w:val="207F6629"/>
    <w:rsid w:val="20B24112"/>
    <w:rsid w:val="20CB4F5C"/>
    <w:rsid w:val="20D91DD8"/>
    <w:rsid w:val="20DD5762"/>
    <w:rsid w:val="20EE43F2"/>
    <w:rsid w:val="20F301B2"/>
    <w:rsid w:val="20F716A2"/>
    <w:rsid w:val="20F903BB"/>
    <w:rsid w:val="21011A51"/>
    <w:rsid w:val="21096B24"/>
    <w:rsid w:val="210B25F8"/>
    <w:rsid w:val="211E2099"/>
    <w:rsid w:val="2123675E"/>
    <w:rsid w:val="21637A27"/>
    <w:rsid w:val="216C08BA"/>
    <w:rsid w:val="21A665AD"/>
    <w:rsid w:val="21B33C19"/>
    <w:rsid w:val="21BB34D8"/>
    <w:rsid w:val="21D722C1"/>
    <w:rsid w:val="21DF24FF"/>
    <w:rsid w:val="22136A87"/>
    <w:rsid w:val="222C0C93"/>
    <w:rsid w:val="224B3D5F"/>
    <w:rsid w:val="2258252F"/>
    <w:rsid w:val="225E4F1E"/>
    <w:rsid w:val="228F63A9"/>
    <w:rsid w:val="22A177E6"/>
    <w:rsid w:val="22E6677E"/>
    <w:rsid w:val="231D3794"/>
    <w:rsid w:val="233236E3"/>
    <w:rsid w:val="233B768D"/>
    <w:rsid w:val="2346752C"/>
    <w:rsid w:val="23585DD8"/>
    <w:rsid w:val="235B4AD3"/>
    <w:rsid w:val="237D05D8"/>
    <w:rsid w:val="239B1C02"/>
    <w:rsid w:val="23AB3963"/>
    <w:rsid w:val="23BA793E"/>
    <w:rsid w:val="23D17044"/>
    <w:rsid w:val="23D172B3"/>
    <w:rsid w:val="23E40684"/>
    <w:rsid w:val="23F23381"/>
    <w:rsid w:val="2411563C"/>
    <w:rsid w:val="242447AF"/>
    <w:rsid w:val="24334C53"/>
    <w:rsid w:val="24771FAD"/>
    <w:rsid w:val="24D75451"/>
    <w:rsid w:val="24DC47FF"/>
    <w:rsid w:val="25005256"/>
    <w:rsid w:val="250439EF"/>
    <w:rsid w:val="2557729C"/>
    <w:rsid w:val="255A6A4F"/>
    <w:rsid w:val="257239B5"/>
    <w:rsid w:val="257A3E03"/>
    <w:rsid w:val="258C3DF5"/>
    <w:rsid w:val="25E1786F"/>
    <w:rsid w:val="25EB11E1"/>
    <w:rsid w:val="25F252DE"/>
    <w:rsid w:val="25F453F1"/>
    <w:rsid w:val="25F574EA"/>
    <w:rsid w:val="260B280F"/>
    <w:rsid w:val="263F3EBB"/>
    <w:rsid w:val="266E1364"/>
    <w:rsid w:val="268E2249"/>
    <w:rsid w:val="26A67D94"/>
    <w:rsid w:val="26C52C94"/>
    <w:rsid w:val="26E51871"/>
    <w:rsid w:val="26EC52C4"/>
    <w:rsid w:val="26FD1062"/>
    <w:rsid w:val="27224B0F"/>
    <w:rsid w:val="272F1E9F"/>
    <w:rsid w:val="274E1A68"/>
    <w:rsid w:val="2764417B"/>
    <w:rsid w:val="27795A37"/>
    <w:rsid w:val="278476CC"/>
    <w:rsid w:val="27F710A0"/>
    <w:rsid w:val="282E0D0A"/>
    <w:rsid w:val="28304989"/>
    <w:rsid w:val="283659E1"/>
    <w:rsid w:val="284F7247"/>
    <w:rsid w:val="2854115A"/>
    <w:rsid w:val="286744CD"/>
    <w:rsid w:val="286C30CC"/>
    <w:rsid w:val="287B2854"/>
    <w:rsid w:val="2887096F"/>
    <w:rsid w:val="28891A68"/>
    <w:rsid w:val="28B0142C"/>
    <w:rsid w:val="28B031C4"/>
    <w:rsid w:val="28B813D8"/>
    <w:rsid w:val="28C05393"/>
    <w:rsid w:val="28C15F16"/>
    <w:rsid w:val="28C8217E"/>
    <w:rsid w:val="28D13A25"/>
    <w:rsid w:val="28E23AA6"/>
    <w:rsid w:val="291433AE"/>
    <w:rsid w:val="292274D8"/>
    <w:rsid w:val="29432A42"/>
    <w:rsid w:val="294F62D4"/>
    <w:rsid w:val="2976043F"/>
    <w:rsid w:val="29834CA6"/>
    <w:rsid w:val="298429E5"/>
    <w:rsid w:val="29AA7F26"/>
    <w:rsid w:val="29D250A3"/>
    <w:rsid w:val="29D97152"/>
    <w:rsid w:val="29EA6773"/>
    <w:rsid w:val="2A2622F9"/>
    <w:rsid w:val="2A2E7A7E"/>
    <w:rsid w:val="2A4735A8"/>
    <w:rsid w:val="2A5F40B6"/>
    <w:rsid w:val="2B1A174A"/>
    <w:rsid w:val="2B332625"/>
    <w:rsid w:val="2B565E56"/>
    <w:rsid w:val="2B7865F9"/>
    <w:rsid w:val="2B8C374E"/>
    <w:rsid w:val="2B8F46B6"/>
    <w:rsid w:val="2B991DFF"/>
    <w:rsid w:val="2BF24C23"/>
    <w:rsid w:val="2BFC6B25"/>
    <w:rsid w:val="2C421FD2"/>
    <w:rsid w:val="2C6B4093"/>
    <w:rsid w:val="2C997AF3"/>
    <w:rsid w:val="2C997CDE"/>
    <w:rsid w:val="2C9E14E5"/>
    <w:rsid w:val="2CD25FF8"/>
    <w:rsid w:val="2CF3392B"/>
    <w:rsid w:val="2D377655"/>
    <w:rsid w:val="2D403484"/>
    <w:rsid w:val="2D651E34"/>
    <w:rsid w:val="2DAB5DC1"/>
    <w:rsid w:val="2DF14475"/>
    <w:rsid w:val="2DF83CAE"/>
    <w:rsid w:val="2E1036F7"/>
    <w:rsid w:val="2E2F76FC"/>
    <w:rsid w:val="2E3B3187"/>
    <w:rsid w:val="2E422DCC"/>
    <w:rsid w:val="2E754540"/>
    <w:rsid w:val="2E905186"/>
    <w:rsid w:val="2ED2330B"/>
    <w:rsid w:val="2EDC447A"/>
    <w:rsid w:val="2EE5733A"/>
    <w:rsid w:val="2EEE11AC"/>
    <w:rsid w:val="2EFE35E8"/>
    <w:rsid w:val="2F315682"/>
    <w:rsid w:val="2F4E6128"/>
    <w:rsid w:val="2F593497"/>
    <w:rsid w:val="2F80221D"/>
    <w:rsid w:val="2FA6202F"/>
    <w:rsid w:val="2FDB47FA"/>
    <w:rsid w:val="303F08C7"/>
    <w:rsid w:val="30412492"/>
    <w:rsid w:val="304704C5"/>
    <w:rsid w:val="30615FED"/>
    <w:rsid w:val="309713C6"/>
    <w:rsid w:val="30A232E4"/>
    <w:rsid w:val="30C50C66"/>
    <w:rsid w:val="30ED1711"/>
    <w:rsid w:val="31167200"/>
    <w:rsid w:val="312C69BA"/>
    <w:rsid w:val="31393DCB"/>
    <w:rsid w:val="31636DC3"/>
    <w:rsid w:val="316A224B"/>
    <w:rsid w:val="316D2854"/>
    <w:rsid w:val="31712EBC"/>
    <w:rsid w:val="317D5FB6"/>
    <w:rsid w:val="318C7F04"/>
    <w:rsid w:val="319C5AA7"/>
    <w:rsid w:val="319F465C"/>
    <w:rsid w:val="31C32FA3"/>
    <w:rsid w:val="31CD468B"/>
    <w:rsid w:val="31D91BE1"/>
    <w:rsid w:val="31E60856"/>
    <w:rsid w:val="31EA35E8"/>
    <w:rsid w:val="32060EAE"/>
    <w:rsid w:val="322C0610"/>
    <w:rsid w:val="322E1BFD"/>
    <w:rsid w:val="323A3E96"/>
    <w:rsid w:val="323E22F7"/>
    <w:rsid w:val="32A5173A"/>
    <w:rsid w:val="32BB148C"/>
    <w:rsid w:val="32BB6217"/>
    <w:rsid w:val="33291ACF"/>
    <w:rsid w:val="333D7CDA"/>
    <w:rsid w:val="336C20F6"/>
    <w:rsid w:val="337D6DD6"/>
    <w:rsid w:val="339670C9"/>
    <w:rsid w:val="339B1966"/>
    <w:rsid w:val="33A23507"/>
    <w:rsid w:val="33C1178D"/>
    <w:rsid w:val="33CD5CBF"/>
    <w:rsid w:val="33CF6A93"/>
    <w:rsid w:val="33D52CF0"/>
    <w:rsid w:val="33E3198C"/>
    <w:rsid w:val="33F352AE"/>
    <w:rsid w:val="341663D8"/>
    <w:rsid w:val="34491953"/>
    <w:rsid w:val="344F1FA8"/>
    <w:rsid w:val="34502644"/>
    <w:rsid w:val="345721E6"/>
    <w:rsid w:val="34751483"/>
    <w:rsid w:val="34B44B7E"/>
    <w:rsid w:val="35056F41"/>
    <w:rsid w:val="350A4AD0"/>
    <w:rsid w:val="350F0702"/>
    <w:rsid w:val="35537C83"/>
    <w:rsid w:val="35A873D1"/>
    <w:rsid w:val="35C76FEA"/>
    <w:rsid w:val="36312097"/>
    <w:rsid w:val="36460B81"/>
    <w:rsid w:val="36495886"/>
    <w:rsid w:val="36637A63"/>
    <w:rsid w:val="367F4F73"/>
    <w:rsid w:val="36DF1B09"/>
    <w:rsid w:val="36F5558D"/>
    <w:rsid w:val="36FA75CB"/>
    <w:rsid w:val="36FE69CC"/>
    <w:rsid w:val="370242D3"/>
    <w:rsid w:val="37077031"/>
    <w:rsid w:val="370A446C"/>
    <w:rsid w:val="37186290"/>
    <w:rsid w:val="371F5514"/>
    <w:rsid w:val="37236D14"/>
    <w:rsid w:val="374A1271"/>
    <w:rsid w:val="376806DB"/>
    <w:rsid w:val="37846EE5"/>
    <w:rsid w:val="379461DF"/>
    <w:rsid w:val="379C5527"/>
    <w:rsid w:val="379F25AA"/>
    <w:rsid w:val="37B7331B"/>
    <w:rsid w:val="37BE432D"/>
    <w:rsid w:val="37C0269B"/>
    <w:rsid w:val="37C20289"/>
    <w:rsid w:val="37CC113C"/>
    <w:rsid w:val="37DD3769"/>
    <w:rsid w:val="37FE4685"/>
    <w:rsid w:val="38316343"/>
    <w:rsid w:val="38540962"/>
    <w:rsid w:val="38727B02"/>
    <w:rsid w:val="38812AD7"/>
    <w:rsid w:val="389F5CD8"/>
    <w:rsid w:val="38AA6BDA"/>
    <w:rsid w:val="38B279EB"/>
    <w:rsid w:val="38B82AF5"/>
    <w:rsid w:val="38C7204D"/>
    <w:rsid w:val="38EA6C83"/>
    <w:rsid w:val="392B1828"/>
    <w:rsid w:val="394D58E5"/>
    <w:rsid w:val="39933B19"/>
    <w:rsid w:val="39A33CED"/>
    <w:rsid w:val="39B63F14"/>
    <w:rsid w:val="39BB11C0"/>
    <w:rsid w:val="39ED5AEC"/>
    <w:rsid w:val="39F25C1A"/>
    <w:rsid w:val="3A2B463D"/>
    <w:rsid w:val="3A386A14"/>
    <w:rsid w:val="3A3C0A2C"/>
    <w:rsid w:val="3A453174"/>
    <w:rsid w:val="3A5133D0"/>
    <w:rsid w:val="3A52381C"/>
    <w:rsid w:val="3A58654F"/>
    <w:rsid w:val="3A5C12CF"/>
    <w:rsid w:val="3A687E26"/>
    <w:rsid w:val="3A8322BE"/>
    <w:rsid w:val="3AC7728A"/>
    <w:rsid w:val="3ACB380C"/>
    <w:rsid w:val="3AF6205F"/>
    <w:rsid w:val="3B050D2B"/>
    <w:rsid w:val="3B1D2FE9"/>
    <w:rsid w:val="3B1F566C"/>
    <w:rsid w:val="3B265D2B"/>
    <w:rsid w:val="3B497D60"/>
    <w:rsid w:val="3B4D0406"/>
    <w:rsid w:val="3B4F3729"/>
    <w:rsid w:val="3B5C1C29"/>
    <w:rsid w:val="3B716F78"/>
    <w:rsid w:val="3B8725C8"/>
    <w:rsid w:val="3BB54638"/>
    <w:rsid w:val="3BD62991"/>
    <w:rsid w:val="3BD95935"/>
    <w:rsid w:val="3BF34A5A"/>
    <w:rsid w:val="3C2A50F0"/>
    <w:rsid w:val="3C2B11E4"/>
    <w:rsid w:val="3C40286C"/>
    <w:rsid w:val="3C4373C4"/>
    <w:rsid w:val="3C9508B9"/>
    <w:rsid w:val="3CBE1861"/>
    <w:rsid w:val="3CD06F1D"/>
    <w:rsid w:val="3CD9405C"/>
    <w:rsid w:val="3CDB019A"/>
    <w:rsid w:val="3CE83CA8"/>
    <w:rsid w:val="3CF672F5"/>
    <w:rsid w:val="3D11065F"/>
    <w:rsid w:val="3D32517E"/>
    <w:rsid w:val="3D5B4B1B"/>
    <w:rsid w:val="3D7778E1"/>
    <w:rsid w:val="3DD64A42"/>
    <w:rsid w:val="3DFF7691"/>
    <w:rsid w:val="3E21293C"/>
    <w:rsid w:val="3E6A644A"/>
    <w:rsid w:val="3E711D4C"/>
    <w:rsid w:val="3E861F2A"/>
    <w:rsid w:val="3E865C72"/>
    <w:rsid w:val="3E920965"/>
    <w:rsid w:val="3E92378D"/>
    <w:rsid w:val="3EC57D85"/>
    <w:rsid w:val="3ED81093"/>
    <w:rsid w:val="3EF76DEB"/>
    <w:rsid w:val="3F147322"/>
    <w:rsid w:val="3F1B7BDA"/>
    <w:rsid w:val="3F4F53D8"/>
    <w:rsid w:val="3F7561FB"/>
    <w:rsid w:val="3F8175A9"/>
    <w:rsid w:val="3F9110FB"/>
    <w:rsid w:val="3F970AC9"/>
    <w:rsid w:val="3F983970"/>
    <w:rsid w:val="3FA04C1F"/>
    <w:rsid w:val="3FAB3EF2"/>
    <w:rsid w:val="3FAD07F9"/>
    <w:rsid w:val="3FB74B79"/>
    <w:rsid w:val="3FB97FE1"/>
    <w:rsid w:val="3FC62C11"/>
    <w:rsid w:val="3FE10133"/>
    <w:rsid w:val="3FF03FC2"/>
    <w:rsid w:val="400F586A"/>
    <w:rsid w:val="40225FCC"/>
    <w:rsid w:val="402C43AB"/>
    <w:rsid w:val="402D0F85"/>
    <w:rsid w:val="4031573F"/>
    <w:rsid w:val="403645F3"/>
    <w:rsid w:val="40491F46"/>
    <w:rsid w:val="40A86353"/>
    <w:rsid w:val="40CC47B9"/>
    <w:rsid w:val="40E41DEF"/>
    <w:rsid w:val="40F17FA1"/>
    <w:rsid w:val="40F2485A"/>
    <w:rsid w:val="40FC47E1"/>
    <w:rsid w:val="41345493"/>
    <w:rsid w:val="4138297C"/>
    <w:rsid w:val="4188317F"/>
    <w:rsid w:val="41924FB9"/>
    <w:rsid w:val="41B34DF1"/>
    <w:rsid w:val="41BB0480"/>
    <w:rsid w:val="41BF708C"/>
    <w:rsid w:val="42041BE8"/>
    <w:rsid w:val="42097713"/>
    <w:rsid w:val="420D42E6"/>
    <w:rsid w:val="420F7783"/>
    <w:rsid w:val="42186FAF"/>
    <w:rsid w:val="42436B6D"/>
    <w:rsid w:val="42635B8E"/>
    <w:rsid w:val="42BB2A5D"/>
    <w:rsid w:val="42CB6444"/>
    <w:rsid w:val="42F27836"/>
    <w:rsid w:val="430A6E5A"/>
    <w:rsid w:val="4330416F"/>
    <w:rsid w:val="433E2AAC"/>
    <w:rsid w:val="434F7A62"/>
    <w:rsid w:val="436752A6"/>
    <w:rsid w:val="43804E58"/>
    <w:rsid w:val="43843FDD"/>
    <w:rsid w:val="439F0E69"/>
    <w:rsid w:val="43D7406A"/>
    <w:rsid w:val="43DC5799"/>
    <w:rsid w:val="43F42B17"/>
    <w:rsid w:val="441A3D23"/>
    <w:rsid w:val="441E1F6C"/>
    <w:rsid w:val="44284DFE"/>
    <w:rsid w:val="443B29FC"/>
    <w:rsid w:val="443B4DCB"/>
    <w:rsid w:val="443D5D23"/>
    <w:rsid w:val="4464327A"/>
    <w:rsid w:val="446A3FBF"/>
    <w:rsid w:val="44D8473A"/>
    <w:rsid w:val="44E37827"/>
    <w:rsid w:val="44E701A5"/>
    <w:rsid w:val="45080D22"/>
    <w:rsid w:val="450E74EC"/>
    <w:rsid w:val="45265484"/>
    <w:rsid w:val="452D74E0"/>
    <w:rsid w:val="45396AC7"/>
    <w:rsid w:val="457C4123"/>
    <w:rsid w:val="45855844"/>
    <w:rsid w:val="458B69F6"/>
    <w:rsid w:val="45A647C9"/>
    <w:rsid w:val="45C943D0"/>
    <w:rsid w:val="45DA6D30"/>
    <w:rsid w:val="45DE14B8"/>
    <w:rsid w:val="463842DE"/>
    <w:rsid w:val="46386E53"/>
    <w:rsid w:val="4639036D"/>
    <w:rsid w:val="463A05A5"/>
    <w:rsid w:val="463A5557"/>
    <w:rsid w:val="46460291"/>
    <w:rsid w:val="464A0A81"/>
    <w:rsid w:val="46625A9D"/>
    <w:rsid w:val="4666004F"/>
    <w:rsid w:val="469506DA"/>
    <w:rsid w:val="469B1818"/>
    <w:rsid w:val="46A9385A"/>
    <w:rsid w:val="46CA4E0D"/>
    <w:rsid w:val="470B23CA"/>
    <w:rsid w:val="472762D3"/>
    <w:rsid w:val="47454177"/>
    <w:rsid w:val="474F15D8"/>
    <w:rsid w:val="4754049B"/>
    <w:rsid w:val="475E7C0D"/>
    <w:rsid w:val="476415D8"/>
    <w:rsid w:val="47701558"/>
    <w:rsid w:val="477426A5"/>
    <w:rsid w:val="47873BD6"/>
    <w:rsid w:val="47B2336A"/>
    <w:rsid w:val="47BA4F6E"/>
    <w:rsid w:val="47D7366E"/>
    <w:rsid w:val="47E12DA0"/>
    <w:rsid w:val="486C3D94"/>
    <w:rsid w:val="48A226AD"/>
    <w:rsid w:val="48B2699F"/>
    <w:rsid w:val="48B67D8D"/>
    <w:rsid w:val="48C260C0"/>
    <w:rsid w:val="48CD2205"/>
    <w:rsid w:val="4902628A"/>
    <w:rsid w:val="490B2882"/>
    <w:rsid w:val="492412C0"/>
    <w:rsid w:val="494E7D53"/>
    <w:rsid w:val="4988006D"/>
    <w:rsid w:val="499646A6"/>
    <w:rsid w:val="499F4D25"/>
    <w:rsid w:val="49B26E0D"/>
    <w:rsid w:val="49BB06FB"/>
    <w:rsid w:val="49BC2A68"/>
    <w:rsid w:val="49F04BCB"/>
    <w:rsid w:val="49FD451C"/>
    <w:rsid w:val="4A152F65"/>
    <w:rsid w:val="4A3E0914"/>
    <w:rsid w:val="4A3F1207"/>
    <w:rsid w:val="4A57472F"/>
    <w:rsid w:val="4A715E3D"/>
    <w:rsid w:val="4AB72982"/>
    <w:rsid w:val="4B1B2082"/>
    <w:rsid w:val="4B635F8B"/>
    <w:rsid w:val="4B65032C"/>
    <w:rsid w:val="4B712A43"/>
    <w:rsid w:val="4B82202B"/>
    <w:rsid w:val="4BBE1692"/>
    <w:rsid w:val="4BCA0C2B"/>
    <w:rsid w:val="4BD65A7B"/>
    <w:rsid w:val="4C0B49E3"/>
    <w:rsid w:val="4C180EC0"/>
    <w:rsid w:val="4C696745"/>
    <w:rsid w:val="4C737423"/>
    <w:rsid w:val="4C987A51"/>
    <w:rsid w:val="4C993ABE"/>
    <w:rsid w:val="4CAA2DCE"/>
    <w:rsid w:val="4CB96EE9"/>
    <w:rsid w:val="4CD66C96"/>
    <w:rsid w:val="4CDC5A3B"/>
    <w:rsid w:val="4CDF0E5D"/>
    <w:rsid w:val="4CE376D5"/>
    <w:rsid w:val="4D0D3FCB"/>
    <w:rsid w:val="4D547564"/>
    <w:rsid w:val="4D6C65CD"/>
    <w:rsid w:val="4D8217BA"/>
    <w:rsid w:val="4D9C1BB4"/>
    <w:rsid w:val="4DC65A69"/>
    <w:rsid w:val="4DF4626D"/>
    <w:rsid w:val="4DFC20A2"/>
    <w:rsid w:val="4DFF1B97"/>
    <w:rsid w:val="4E020B1B"/>
    <w:rsid w:val="4E043535"/>
    <w:rsid w:val="4E1362FB"/>
    <w:rsid w:val="4E25360E"/>
    <w:rsid w:val="4E2719FC"/>
    <w:rsid w:val="4E5E12F1"/>
    <w:rsid w:val="4E62045F"/>
    <w:rsid w:val="4E783F31"/>
    <w:rsid w:val="4EAC689C"/>
    <w:rsid w:val="4EB25AA5"/>
    <w:rsid w:val="4EDD2691"/>
    <w:rsid w:val="4EF911E3"/>
    <w:rsid w:val="4EF94046"/>
    <w:rsid w:val="4F0048E8"/>
    <w:rsid w:val="4F0C760F"/>
    <w:rsid w:val="4F15188C"/>
    <w:rsid w:val="4F255836"/>
    <w:rsid w:val="4F29165C"/>
    <w:rsid w:val="4F3F24FD"/>
    <w:rsid w:val="4F4F67C3"/>
    <w:rsid w:val="4F580453"/>
    <w:rsid w:val="4F647CAE"/>
    <w:rsid w:val="4F7F4759"/>
    <w:rsid w:val="4F8A3560"/>
    <w:rsid w:val="4F8A6E9D"/>
    <w:rsid w:val="4FA00EA1"/>
    <w:rsid w:val="4FA7410F"/>
    <w:rsid w:val="4FB10DBD"/>
    <w:rsid w:val="4FD02150"/>
    <w:rsid w:val="4FD47514"/>
    <w:rsid w:val="4FDC31A9"/>
    <w:rsid w:val="4FE15CB0"/>
    <w:rsid w:val="4FF525AA"/>
    <w:rsid w:val="4FF63DCE"/>
    <w:rsid w:val="500A5543"/>
    <w:rsid w:val="501D01A2"/>
    <w:rsid w:val="501D19C7"/>
    <w:rsid w:val="50372FFC"/>
    <w:rsid w:val="50381A05"/>
    <w:rsid w:val="504305E6"/>
    <w:rsid w:val="504C6018"/>
    <w:rsid w:val="50500C93"/>
    <w:rsid w:val="506E1264"/>
    <w:rsid w:val="508B7406"/>
    <w:rsid w:val="509F73B0"/>
    <w:rsid w:val="50B26A6B"/>
    <w:rsid w:val="50C20F4E"/>
    <w:rsid w:val="50D40C4B"/>
    <w:rsid w:val="50E46F54"/>
    <w:rsid w:val="5144267E"/>
    <w:rsid w:val="514D07CA"/>
    <w:rsid w:val="51604849"/>
    <w:rsid w:val="51747844"/>
    <w:rsid w:val="51777F08"/>
    <w:rsid w:val="51912DDA"/>
    <w:rsid w:val="51AB47E1"/>
    <w:rsid w:val="51B047FE"/>
    <w:rsid w:val="51B204B9"/>
    <w:rsid w:val="51B56296"/>
    <w:rsid w:val="51C72834"/>
    <w:rsid w:val="51E74EF3"/>
    <w:rsid w:val="520C2961"/>
    <w:rsid w:val="522F500B"/>
    <w:rsid w:val="523852D6"/>
    <w:rsid w:val="523E768F"/>
    <w:rsid w:val="5242577E"/>
    <w:rsid w:val="527076ED"/>
    <w:rsid w:val="52783884"/>
    <w:rsid w:val="528E699D"/>
    <w:rsid w:val="52AC28BC"/>
    <w:rsid w:val="52B05067"/>
    <w:rsid w:val="52CC23E6"/>
    <w:rsid w:val="52D7787C"/>
    <w:rsid w:val="52E07238"/>
    <w:rsid w:val="52EA11D5"/>
    <w:rsid w:val="5329120F"/>
    <w:rsid w:val="536F68C7"/>
    <w:rsid w:val="5382736B"/>
    <w:rsid w:val="539E491F"/>
    <w:rsid w:val="53B24EEA"/>
    <w:rsid w:val="53B97E84"/>
    <w:rsid w:val="53BF4F14"/>
    <w:rsid w:val="53C72845"/>
    <w:rsid w:val="53CA6414"/>
    <w:rsid w:val="53D00E36"/>
    <w:rsid w:val="53D31D47"/>
    <w:rsid w:val="53DD499C"/>
    <w:rsid w:val="53EF09CA"/>
    <w:rsid w:val="53F014B1"/>
    <w:rsid w:val="5408182A"/>
    <w:rsid w:val="54125F57"/>
    <w:rsid w:val="54187343"/>
    <w:rsid w:val="541C31AF"/>
    <w:rsid w:val="5420466B"/>
    <w:rsid w:val="5433414C"/>
    <w:rsid w:val="54465F20"/>
    <w:rsid w:val="545D4199"/>
    <w:rsid w:val="54831B18"/>
    <w:rsid w:val="549502FD"/>
    <w:rsid w:val="54AB09A6"/>
    <w:rsid w:val="54AF20D4"/>
    <w:rsid w:val="54B72A99"/>
    <w:rsid w:val="54BC49A0"/>
    <w:rsid w:val="55022976"/>
    <w:rsid w:val="551C096F"/>
    <w:rsid w:val="55240097"/>
    <w:rsid w:val="552C3D46"/>
    <w:rsid w:val="554D13EE"/>
    <w:rsid w:val="559341A6"/>
    <w:rsid w:val="55C57ADE"/>
    <w:rsid w:val="55CE22F2"/>
    <w:rsid w:val="56160365"/>
    <w:rsid w:val="561717F3"/>
    <w:rsid w:val="566E6821"/>
    <w:rsid w:val="56DD747D"/>
    <w:rsid w:val="56EE039D"/>
    <w:rsid w:val="56F96728"/>
    <w:rsid w:val="571F273F"/>
    <w:rsid w:val="572F7A73"/>
    <w:rsid w:val="575B5634"/>
    <w:rsid w:val="575D7EC0"/>
    <w:rsid w:val="576138FC"/>
    <w:rsid w:val="578736CD"/>
    <w:rsid w:val="578739BB"/>
    <w:rsid w:val="57893C0F"/>
    <w:rsid w:val="5798256F"/>
    <w:rsid w:val="579840C7"/>
    <w:rsid w:val="57C2221D"/>
    <w:rsid w:val="57E1536E"/>
    <w:rsid w:val="57FD673B"/>
    <w:rsid w:val="583A7FA8"/>
    <w:rsid w:val="58544955"/>
    <w:rsid w:val="58566AE7"/>
    <w:rsid w:val="585962B5"/>
    <w:rsid w:val="585F5B75"/>
    <w:rsid w:val="587A4269"/>
    <w:rsid w:val="589A5A5F"/>
    <w:rsid w:val="58B94375"/>
    <w:rsid w:val="58BA4A70"/>
    <w:rsid w:val="5902444F"/>
    <w:rsid w:val="591B5CBF"/>
    <w:rsid w:val="59245B71"/>
    <w:rsid w:val="5927514C"/>
    <w:rsid w:val="594F610B"/>
    <w:rsid w:val="59600EE5"/>
    <w:rsid w:val="59634BDC"/>
    <w:rsid w:val="59941B20"/>
    <w:rsid w:val="599A4004"/>
    <w:rsid w:val="599B086D"/>
    <w:rsid w:val="59B927ED"/>
    <w:rsid w:val="59BF5C8E"/>
    <w:rsid w:val="59D97EC2"/>
    <w:rsid w:val="59E27409"/>
    <w:rsid w:val="59E52BA1"/>
    <w:rsid w:val="59ED36DC"/>
    <w:rsid w:val="59FC781F"/>
    <w:rsid w:val="5A3526A3"/>
    <w:rsid w:val="5A4E41C1"/>
    <w:rsid w:val="5A6210CC"/>
    <w:rsid w:val="5A7348C9"/>
    <w:rsid w:val="5A7521D8"/>
    <w:rsid w:val="5A7E7218"/>
    <w:rsid w:val="5A9725BE"/>
    <w:rsid w:val="5AC76508"/>
    <w:rsid w:val="5AD45AFB"/>
    <w:rsid w:val="5AFC1624"/>
    <w:rsid w:val="5B095493"/>
    <w:rsid w:val="5B115BA8"/>
    <w:rsid w:val="5B235AE9"/>
    <w:rsid w:val="5B246A53"/>
    <w:rsid w:val="5B416E74"/>
    <w:rsid w:val="5B437EA2"/>
    <w:rsid w:val="5B534ED1"/>
    <w:rsid w:val="5B613E3C"/>
    <w:rsid w:val="5B8859A0"/>
    <w:rsid w:val="5B9F7743"/>
    <w:rsid w:val="5BB522B5"/>
    <w:rsid w:val="5BBA4618"/>
    <w:rsid w:val="5BF84DDB"/>
    <w:rsid w:val="5C111338"/>
    <w:rsid w:val="5C691941"/>
    <w:rsid w:val="5C7919DF"/>
    <w:rsid w:val="5CB35D47"/>
    <w:rsid w:val="5CC85C68"/>
    <w:rsid w:val="5CEC3A93"/>
    <w:rsid w:val="5CEF405D"/>
    <w:rsid w:val="5CFE5040"/>
    <w:rsid w:val="5D1341B2"/>
    <w:rsid w:val="5D251093"/>
    <w:rsid w:val="5D287B54"/>
    <w:rsid w:val="5D3047D1"/>
    <w:rsid w:val="5D494018"/>
    <w:rsid w:val="5D6B14A2"/>
    <w:rsid w:val="5D9B0E6A"/>
    <w:rsid w:val="5D9E1AED"/>
    <w:rsid w:val="5D9E4E16"/>
    <w:rsid w:val="5DBA0135"/>
    <w:rsid w:val="5DCD5DE5"/>
    <w:rsid w:val="5DD437EF"/>
    <w:rsid w:val="5DF16302"/>
    <w:rsid w:val="5DFF4B46"/>
    <w:rsid w:val="5E3B0A10"/>
    <w:rsid w:val="5E424B71"/>
    <w:rsid w:val="5E881A80"/>
    <w:rsid w:val="5EB51AB3"/>
    <w:rsid w:val="5EC33621"/>
    <w:rsid w:val="5EF31C67"/>
    <w:rsid w:val="5EF4004E"/>
    <w:rsid w:val="5EFA106E"/>
    <w:rsid w:val="5EFF06CD"/>
    <w:rsid w:val="5F010576"/>
    <w:rsid w:val="5F0251FA"/>
    <w:rsid w:val="5F4475AE"/>
    <w:rsid w:val="5F4A6799"/>
    <w:rsid w:val="5F6C2424"/>
    <w:rsid w:val="5F946A7C"/>
    <w:rsid w:val="5FBA79B0"/>
    <w:rsid w:val="5FC61813"/>
    <w:rsid w:val="5FD57CF6"/>
    <w:rsid w:val="5FF50EAD"/>
    <w:rsid w:val="600676E3"/>
    <w:rsid w:val="601C5687"/>
    <w:rsid w:val="602B7B91"/>
    <w:rsid w:val="60391C4C"/>
    <w:rsid w:val="603B021E"/>
    <w:rsid w:val="60584683"/>
    <w:rsid w:val="606F768E"/>
    <w:rsid w:val="608D00E3"/>
    <w:rsid w:val="60992490"/>
    <w:rsid w:val="60A1419A"/>
    <w:rsid w:val="60A43A47"/>
    <w:rsid w:val="60C33C2B"/>
    <w:rsid w:val="60E97ACC"/>
    <w:rsid w:val="61160E7E"/>
    <w:rsid w:val="61311E12"/>
    <w:rsid w:val="61637659"/>
    <w:rsid w:val="617C570B"/>
    <w:rsid w:val="61853804"/>
    <w:rsid w:val="619B53CA"/>
    <w:rsid w:val="61A56DFA"/>
    <w:rsid w:val="61EB5F1D"/>
    <w:rsid w:val="621B5631"/>
    <w:rsid w:val="626D5F91"/>
    <w:rsid w:val="627E7D9D"/>
    <w:rsid w:val="628407FE"/>
    <w:rsid w:val="62880405"/>
    <w:rsid w:val="629073C4"/>
    <w:rsid w:val="62996318"/>
    <w:rsid w:val="62AA6D2C"/>
    <w:rsid w:val="62B0179B"/>
    <w:rsid w:val="62CC094F"/>
    <w:rsid w:val="630334E9"/>
    <w:rsid w:val="63242B23"/>
    <w:rsid w:val="635C73A1"/>
    <w:rsid w:val="63743838"/>
    <w:rsid w:val="637455EF"/>
    <w:rsid w:val="637509AF"/>
    <w:rsid w:val="63A23228"/>
    <w:rsid w:val="63AB5D44"/>
    <w:rsid w:val="63B04CF8"/>
    <w:rsid w:val="63BA7188"/>
    <w:rsid w:val="63DF59C2"/>
    <w:rsid w:val="63E6136F"/>
    <w:rsid w:val="63EA625B"/>
    <w:rsid w:val="63FC6F31"/>
    <w:rsid w:val="642E4F72"/>
    <w:rsid w:val="646469D4"/>
    <w:rsid w:val="647A419D"/>
    <w:rsid w:val="64846083"/>
    <w:rsid w:val="64851089"/>
    <w:rsid w:val="64983CC9"/>
    <w:rsid w:val="64B109D5"/>
    <w:rsid w:val="64E43E7F"/>
    <w:rsid w:val="64FE5C71"/>
    <w:rsid w:val="65107E36"/>
    <w:rsid w:val="654E476E"/>
    <w:rsid w:val="657B11CD"/>
    <w:rsid w:val="658A6BCD"/>
    <w:rsid w:val="659D0782"/>
    <w:rsid w:val="659D7C90"/>
    <w:rsid w:val="65D04EEB"/>
    <w:rsid w:val="65D424B9"/>
    <w:rsid w:val="66001BA4"/>
    <w:rsid w:val="66025947"/>
    <w:rsid w:val="663C7469"/>
    <w:rsid w:val="66B8269C"/>
    <w:rsid w:val="66DA6749"/>
    <w:rsid w:val="671D46C8"/>
    <w:rsid w:val="671F22A3"/>
    <w:rsid w:val="67291A35"/>
    <w:rsid w:val="673669FF"/>
    <w:rsid w:val="67393CB7"/>
    <w:rsid w:val="673C6439"/>
    <w:rsid w:val="676A0B2B"/>
    <w:rsid w:val="676C3006"/>
    <w:rsid w:val="67827A7F"/>
    <w:rsid w:val="67A667D3"/>
    <w:rsid w:val="67A74C82"/>
    <w:rsid w:val="67A95111"/>
    <w:rsid w:val="67C365BF"/>
    <w:rsid w:val="67D8341E"/>
    <w:rsid w:val="67E46FF5"/>
    <w:rsid w:val="67ED6C16"/>
    <w:rsid w:val="680A6C82"/>
    <w:rsid w:val="6824034C"/>
    <w:rsid w:val="683E3347"/>
    <w:rsid w:val="685E57CE"/>
    <w:rsid w:val="685F4AA0"/>
    <w:rsid w:val="68623D3F"/>
    <w:rsid w:val="686C7E0A"/>
    <w:rsid w:val="68757042"/>
    <w:rsid w:val="687D6111"/>
    <w:rsid w:val="6886166B"/>
    <w:rsid w:val="68954A3C"/>
    <w:rsid w:val="689B0DF8"/>
    <w:rsid w:val="68B5096E"/>
    <w:rsid w:val="68CC10BC"/>
    <w:rsid w:val="68F44B09"/>
    <w:rsid w:val="68FA1B9A"/>
    <w:rsid w:val="694E046E"/>
    <w:rsid w:val="69652D27"/>
    <w:rsid w:val="69952A0C"/>
    <w:rsid w:val="699A1218"/>
    <w:rsid w:val="699B4BDB"/>
    <w:rsid w:val="69A51678"/>
    <w:rsid w:val="69BB329B"/>
    <w:rsid w:val="69BD4C61"/>
    <w:rsid w:val="69FC56C6"/>
    <w:rsid w:val="69FD3B6F"/>
    <w:rsid w:val="6A0065EF"/>
    <w:rsid w:val="6A1F1C32"/>
    <w:rsid w:val="6A616283"/>
    <w:rsid w:val="6A641407"/>
    <w:rsid w:val="6A656882"/>
    <w:rsid w:val="6A8B60FB"/>
    <w:rsid w:val="6A9674BF"/>
    <w:rsid w:val="6A9A37E0"/>
    <w:rsid w:val="6AA604CA"/>
    <w:rsid w:val="6AB67B97"/>
    <w:rsid w:val="6ADB41F3"/>
    <w:rsid w:val="6AFB4F4A"/>
    <w:rsid w:val="6B12444F"/>
    <w:rsid w:val="6B2A12A7"/>
    <w:rsid w:val="6B4533C9"/>
    <w:rsid w:val="6B5C39DF"/>
    <w:rsid w:val="6B5E11EE"/>
    <w:rsid w:val="6B611EB1"/>
    <w:rsid w:val="6B7E3BA2"/>
    <w:rsid w:val="6B961766"/>
    <w:rsid w:val="6BC8334A"/>
    <w:rsid w:val="6BD61A98"/>
    <w:rsid w:val="6BF77F96"/>
    <w:rsid w:val="6BFE19E1"/>
    <w:rsid w:val="6C050A47"/>
    <w:rsid w:val="6C0B1A74"/>
    <w:rsid w:val="6C16659B"/>
    <w:rsid w:val="6C27235B"/>
    <w:rsid w:val="6C3342D8"/>
    <w:rsid w:val="6C394A8B"/>
    <w:rsid w:val="6C420156"/>
    <w:rsid w:val="6C5142B7"/>
    <w:rsid w:val="6C7457E7"/>
    <w:rsid w:val="6C7D6E82"/>
    <w:rsid w:val="6C8311C3"/>
    <w:rsid w:val="6CA5691E"/>
    <w:rsid w:val="6CFC1EEB"/>
    <w:rsid w:val="6CFD2D93"/>
    <w:rsid w:val="6D1B3C07"/>
    <w:rsid w:val="6D290842"/>
    <w:rsid w:val="6D680792"/>
    <w:rsid w:val="6DAB0FE0"/>
    <w:rsid w:val="6DD67347"/>
    <w:rsid w:val="6DEE7FF8"/>
    <w:rsid w:val="6E0B6604"/>
    <w:rsid w:val="6E1E5CB1"/>
    <w:rsid w:val="6E51496A"/>
    <w:rsid w:val="6E8555D0"/>
    <w:rsid w:val="6E876629"/>
    <w:rsid w:val="6E893B3A"/>
    <w:rsid w:val="6EDA7020"/>
    <w:rsid w:val="6EDF1C43"/>
    <w:rsid w:val="6F08338C"/>
    <w:rsid w:val="6F492FDA"/>
    <w:rsid w:val="6F561A7D"/>
    <w:rsid w:val="6F6005AE"/>
    <w:rsid w:val="6FA629B9"/>
    <w:rsid w:val="6FB41CDF"/>
    <w:rsid w:val="6FE52B7F"/>
    <w:rsid w:val="70047746"/>
    <w:rsid w:val="701B22C2"/>
    <w:rsid w:val="704A18A5"/>
    <w:rsid w:val="70535193"/>
    <w:rsid w:val="705353D7"/>
    <w:rsid w:val="70595CFD"/>
    <w:rsid w:val="70731CBA"/>
    <w:rsid w:val="70AB2A5F"/>
    <w:rsid w:val="70C40F6B"/>
    <w:rsid w:val="70FF2B52"/>
    <w:rsid w:val="71053071"/>
    <w:rsid w:val="710C4547"/>
    <w:rsid w:val="71146B3B"/>
    <w:rsid w:val="711E1A75"/>
    <w:rsid w:val="715E5257"/>
    <w:rsid w:val="718176C8"/>
    <w:rsid w:val="71BB1264"/>
    <w:rsid w:val="71C14470"/>
    <w:rsid w:val="71DD01AD"/>
    <w:rsid w:val="71E01DDD"/>
    <w:rsid w:val="723D68AF"/>
    <w:rsid w:val="724721AC"/>
    <w:rsid w:val="72705108"/>
    <w:rsid w:val="729452D5"/>
    <w:rsid w:val="72F657B0"/>
    <w:rsid w:val="72FC409A"/>
    <w:rsid w:val="73032FC0"/>
    <w:rsid w:val="730F48D7"/>
    <w:rsid w:val="73253B84"/>
    <w:rsid w:val="733D0BED"/>
    <w:rsid w:val="737D602F"/>
    <w:rsid w:val="738707F8"/>
    <w:rsid w:val="738754CA"/>
    <w:rsid w:val="738B6F89"/>
    <w:rsid w:val="738E1548"/>
    <w:rsid w:val="73C056D8"/>
    <w:rsid w:val="73CB6AC4"/>
    <w:rsid w:val="73ED1A3A"/>
    <w:rsid w:val="73F05696"/>
    <w:rsid w:val="73F50B6F"/>
    <w:rsid w:val="74146799"/>
    <w:rsid w:val="741A1B16"/>
    <w:rsid w:val="741E67C6"/>
    <w:rsid w:val="742C5E27"/>
    <w:rsid w:val="74551D23"/>
    <w:rsid w:val="745D7B18"/>
    <w:rsid w:val="745F299C"/>
    <w:rsid w:val="746F1484"/>
    <w:rsid w:val="74B800CA"/>
    <w:rsid w:val="74B8088A"/>
    <w:rsid w:val="74F55B27"/>
    <w:rsid w:val="753D165B"/>
    <w:rsid w:val="75511543"/>
    <w:rsid w:val="756B2471"/>
    <w:rsid w:val="75726F76"/>
    <w:rsid w:val="758D6086"/>
    <w:rsid w:val="758F1A33"/>
    <w:rsid w:val="75F8009A"/>
    <w:rsid w:val="763A3819"/>
    <w:rsid w:val="76471DE8"/>
    <w:rsid w:val="764C1D57"/>
    <w:rsid w:val="76701D3D"/>
    <w:rsid w:val="76951140"/>
    <w:rsid w:val="76974BD9"/>
    <w:rsid w:val="76977026"/>
    <w:rsid w:val="76A70C95"/>
    <w:rsid w:val="76D15D09"/>
    <w:rsid w:val="76EB626F"/>
    <w:rsid w:val="76F57B1F"/>
    <w:rsid w:val="771349E5"/>
    <w:rsid w:val="7714635C"/>
    <w:rsid w:val="771C30FA"/>
    <w:rsid w:val="77206134"/>
    <w:rsid w:val="772F3A61"/>
    <w:rsid w:val="773553A7"/>
    <w:rsid w:val="77580A66"/>
    <w:rsid w:val="778D01FE"/>
    <w:rsid w:val="77A3436B"/>
    <w:rsid w:val="77B86288"/>
    <w:rsid w:val="77F437B1"/>
    <w:rsid w:val="780738D1"/>
    <w:rsid w:val="782226C6"/>
    <w:rsid w:val="783D4AFF"/>
    <w:rsid w:val="784D30F3"/>
    <w:rsid w:val="78693C27"/>
    <w:rsid w:val="788A2C6A"/>
    <w:rsid w:val="78AD0D21"/>
    <w:rsid w:val="78B73B4F"/>
    <w:rsid w:val="78B934ED"/>
    <w:rsid w:val="78C37C8A"/>
    <w:rsid w:val="78DE2D7C"/>
    <w:rsid w:val="7922596C"/>
    <w:rsid w:val="792F01A6"/>
    <w:rsid w:val="79382965"/>
    <w:rsid w:val="794C1894"/>
    <w:rsid w:val="795161CA"/>
    <w:rsid w:val="79820F11"/>
    <w:rsid w:val="79A81252"/>
    <w:rsid w:val="79AC037E"/>
    <w:rsid w:val="79B4594A"/>
    <w:rsid w:val="79B978EA"/>
    <w:rsid w:val="79BC708D"/>
    <w:rsid w:val="79EB1C7D"/>
    <w:rsid w:val="7A1B476E"/>
    <w:rsid w:val="7A50702E"/>
    <w:rsid w:val="7A9722EA"/>
    <w:rsid w:val="7AA274F5"/>
    <w:rsid w:val="7AF27BF0"/>
    <w:rsid w:val="7B1A6AB5"/>
    <w:rsid w:val="7B327BB5"/>
    <w:rsid w:val="7B33563C"/>
    <w:rsid w:val="7B4C0E94"/>
    <w:rsid w:val="7B5737ED"/>
    <w:rsid w:val="7B594633"/>
    <w:rsid w:val="7B763FD0"/>
    <w:rsid w:val="7B8D6D12"/>
    <w:rsid w:val="7B9147B3"/>
    <w:rsid w:val="7BAC1017"/>
    <w:rsid w:val="7BC5015F"/>
    <w:rsid w:val="7BDB40C8"/>
    <w:rsid w:val="7BFC639E"/>
    <w:rsid w:val="7C1060A4"/>
    <w:rsid w:val="7C212B16"/>
    <w:rsid w:val="7C344D27"/>
    <w:rsid w:val="7C6034EF"/>
    <w:rsid w:val="7C8F3841"/>
    <w:rsid w:val="7C927737"/>
    <w:rsid w:val="7CE055BA"/>
    <w:rsid w:val="7CFC1051"/>
    <w:rsid w:val="7D15058B"/>
    <w:rsid w:val="7D157DA1"/>
    <w:rsid w:val="7D213138"/>
    <w:rsid w:val="7D2521B2"/>
    <w:rsid w:val="7D317598"/>
    <w:rsid w:val="7D3230DC"/>
    <w:rsid w:val="7D4D08D5"/>
    <w:rsid w:val="7D551F58"/>
    <w:rsid w:val="7D6A282B"/>
    <w:rsid w:val="7DF04831"/>
    <w:rsid w:val="7DF22A1C"/>
    <w:rsid w:val="7E0E1134"/>
    <w:rsid w:val="7E282CD5"/>
    <w:rsid w:val="7E3672A9"/>
    <w:rsid w:val="7E4618EE"/>
    <w:rsid w:val="7E49452F"/>
    <w:rsid w:val="7E577B57"/>
    <w:rsid w:val="7E7A400D"/>
    <w:rsid w:val="7E872237"/>
    <w:rsid w:val="7E873820"/>
    <w:rsid w:val="7E8C3F75"/>
    <w:rsid w:val="7E9832EF"/>
    <w:rsid w:val="7EA80241"/>
    <w:rsid w:val="7EAB6E1B"/>
    <w:rsid w:val="7ED76DD4"/>
    <w:rsid w:val="7EE354CD"/>
    <w:rsid w:val="7F06366D"/>
    <w:rsid w:val="7F13011A"/>
    <w:rsid w:val="7F5456A0"/>
    <w:rsid w:val="7F5C0130"/>
    <w:rsid w:val="7F79289E"/>
    <w:rsid w:val="7F8F1F7C"/>
    <w:rsid w:val="7FA8445B"/>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9"/>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58"/>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97"/>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35"/>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87"/>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3"/>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28"/>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13"/>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91"/>
    <w:qFormat/>
    <w:uiPriority w:val="0"/>
    <w:pPr>
      <w:keepNext/>
      <w:keepLines/>
      <w:numPr>
        <w:ilvl w:val="8"/>
        <w:numId w:val="1"/>
      </w:numPr>
      <w:spacing w:before="240" w:after="64" w:line="320" w:lineRule="auto"/>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spacing w:before="100" w:beforeAutospacing="1" w:after="100" w:afterAutospacing="1"/>
      <w:ind w:left="1260" w:hanging="420"/>
    </w:pPr>
    <w:rPr>
      <w:szCs w:val="21"/>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189"/>
    <w:qFormat/>
    <w:uiPriority w:val="0"/>
    <w:pPr>
      <w:ind w:firstLine="420"/>
    </w:pPr>
    <w:rPr>
      <w:b/>
      <w:sz w:val="24"/>
      <w:szCs w:val="20"/>
    </w:rPr>
  </w:style>
  <w:style w:type="paragraph" w:styleId="14">
    <w:name w:val="caption"/>
    <w:basedOn w:val="1"/>
    <w:next w:val="1"/>
    <w:qFormat/>
    <w:uiPriority w:val="0"/>
    <w:rPr>
      <w:rFonts w:ascii="Cambria" w:hAnsi="Cambria" w:eastAsia="黑体"/>
      <w:sz w:val="20"/>
      <w:szCs w:val="22"/>
    </w:rPr>
  </w:style>
  <w:style w:type="paragraph" w:styleId="15">
    <w:name w:val="Document Map"/>
    <w:basedOn w:val="1"/>
    <w:link w:val="81"/>
    <w:qFormat/>
    <w:uiPriority w:val="0"/>
    <w:rPr>
      <w:rFonts w:ascii="宋体"/>
      <w:sz w:val="18"/>
      <w:szCs w:val="18"/>
    </w:rPr>
  </w:style>
  <w:style w:type="paragraph" w:styleId="16">
    <w:name w:val="annotation text"/>
    <w:basedOn w:val="1"/>
    <w:link w:val="105"/>
    <w:qFormat/>
    <w:uiPriority w:val="99"/>
    <w:pPr>
      <w:jc w:val="left"/>
    </w:pPr>
  </w:style>
  <w:style w:type="paragraph" w:styleId="17">
    <w:name w:val="Body Text 3"/>
    <w:basedOn w:val="1"/>
    <w:link w:val="124"/>
    <w:qFormat/>
    <w:uiPriority w:val="0"/>
    <w:rPr>
      <w:rFonts w:ascii="宋体"/>
      <w:sz w:val="24"/>
      <w:szCs w:val="20"/>
    </w:rPr>
  </w:style>
  <w:style w:type="paragraph" w:styleId="18">
    <w:name w:val="Body Text"/>
    <w:basedOn w:val="1"/>
    <w:link w:val="112"/>
    <w:qFormat/>
    <w:uiPriority w:val="0"/>
    <w:pPr>
      <w:jc w:val="center"/>
    </w:pPr>
    <w:rPr>
      <w:rFonts w:eastAsia="幼圆"/>
      <w:b/>
      <w:bCs/>
      <w:sz w:val="44"/>
    </w:rPr>
  </w:style>
  <w:style w:type="paragraph" w:styleId="19">
    <w:name w:val="Body Text Indent"/>
    <w:basedOn w:val="1"/>
    <w:link w:val="68"/>
    <w:qFormat/>
    <w:uiPriority w:val="0"/>
    <w:pPr>
      <w:spacing w:after="120"/>
      <w:ind w:left="420" w:leftChars="200"/>
    </w:pPr>
  </w:style>
  <w:style w:type="paragraph" w:styleId="20">
    <w:name w:val="Block Text"/>
    <w:basedOn w:val="1"/>
    <w:semiHidden/>
    <w:unhideWhenUsed/>
    <w:qFormat/>
    <w:uiPriority w:val="99"/>
    <w:pPr>
      <w:spacing w:after="120"/>
      <w:ind w:left="1440" w:leftChars="700" w:right="1440" w:rightChars="700"/>
    </w:pPr>
    <w:rPr>
      <w:sz w:val="24"/>
    </w:rPr>
  </w:style>
  <w:style w:type="paragraph" w:styleId="21">
    <w:name w:val="index 4"/>
    <w:basedOn w:val="1"/>
    <w:next w:val="1"/>
    <w:qFormat/>
    <w:uiPriority w:val="0"/>
    <w:pPr>
      <w:ind w:left="600" w:leftChars="600"/>
    </w:pPr>
    <w:rPr>
      <w:rFonts w:ascii="Calibri" w:hAnsi="Calibri"/>
    </w:rPr>
  </w:style>
  <w:style w:type="paragraph" w:styleId="22">
    <w:name w:val="toc 5"/>
    <w:basedOn w:val="1"/>
    <w:next w:val="1"/>
    <w:unhideWhenUsed/>
    <w:qFormat/>
    <w:uiPriority w:val="39"/>
    <w:pPr>
      <w:ind w:left="1680" w:leftChars="800"/>
    </w:pPr>
    <w:rPr>
      <w:rFonts w:ascii="Calibri" w:hAnsi="Calibri"/>
      <w:szCs w:val="22"/>
    </w:rPr>
  </w:style>
  <w:style w:type="paragraph" w:styleId="23">
    <w:name w:val="toc 3"/>
    <w:basedOn w:val="1"/>
    <w:next w:val="1"/>
    <w:qFormat/>
    <w:uiPriority w:val="39"/>
    <w:pPr>
      <w:ind w:left="840" w:leftChars="400"/>
    </w:pPr>
    <w:rPr>
      <w:rFonts w:ascii="Calibri" w:hAnsi="Calibri"/>
      <w:szCs w:val="22"/>
    </w:rPr>
  </w:style>
  <w:style w:type="paragraph" w:styleId="24">
    <w:name w:val="Plain Text"/>
    <w:basedOn w:val="1"/>
    <w:link w:val="74"/>
    <w:qFormat/>
    <w:uiPriority w:val="0"/>
    <w:rPr>
      <w:rFonts w:ascii="Ari"/>
    </w:rPr>
  </w:style>
  <w:style w:type="paragraph" w:styleId="25">
    <w:name w:val="toc 8"/>
    <w:basedOn w:val="1"/>
    <w:next w:val="1"/>
    <w:unhideWhenUsed/>
    <w:qFormat/>
    <w:uiPriority w:val="39"/>
    <w:pPr>
      <w:ind w:left="2940" w:leftChars="1400"/>
    </w:pPr>
    <w:rPr>
      <w:rFonts w:ascii="Calibri" w:hAnsi="Calibri"/>
      <w:szCs w:val="22"/>
    </w:rPr>
  </w:style>
  <w:style w:type="paragraph" w:styleId="26">
    <w:name w:val="Date"/>
    <w:basedOn w:val="1"/>
    <w:next w:val="1"/>
    <w:link w:val="82"/>
    <w:unhideWhenUsed/>
    <w:qFormat/>
    <w:uiPriority w:val="0"/>
  </w:style>
  <w:style w:type="paragraph" w:styleId="27">
    <w:name w:val="Body Text Indent 2"/>
    <w:basedOn w:val="1"/>
    <w:link w:val="104"/>
    <w:unhideWhenUsed/>
    <w:qFormat/>
    <w:uiPriority w:val="99"/>
    <w:pPr>
      <w:spacing w:line="420" w:lineRule="exact"/>
      <w:ind w:firstLine="525"/>
    </w:pPr>
    <w:rPr>
      <w:rFonts w:ascii="宋体"/>
      <w:kern w:val="0"/>
      <w:sz w:val="20"/>
      <w:szCs w:val="20"/>
    </w:rPr>
  </w:style>
  <w:style w:type="paragraph" w:styleId="28">
    <w:name w:val="Balloon Text"/>
    <w:basedOn w:val="1"/>
    <w:link w:val="127"/>
    <w:qFormat/>
    <w:uiPriority w:val="0"/>
    <w:rPr>
      <w:sz w:val="18"/>
      <w:szCs w:val="18"/>
    </w:rPr>
  </w:style>
  <w:style w:type="paragraph" w:styleId="29">
    <w:name w:val="footer"/>
    <w:basedOn w:val="1"/>
    <w:link w:val="117"/>
    <w:qFormat/>
    <w:uiPriority w:val="99"/>
    <w:pPr>
      <w:tabs>
        <w:tab w:val="center" w:pos="4153"/>
        <w:tab w:val="right" w:pos="8306"/>
      </w:tabs>
      <w:snapToGrid w:val="0"/>
      <w:jc w:val="left"/>
    </w:pPr>
    <w:rPr>
      <w:sz w:val="18"/>
      <w:szCs w:val="18"/>
    </w:rPr>
  </w:style>
  <w:style w:type="paragraph" w:styleId="30">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unhideWhenUsed/>
    <w:qFormat/>
    <w:uiPriority w:val="39"/>
    <w:pPr>
      <w:ind w:left="1260" w:leftChars="600"/>
    </w:pPr>
    <w:rPr>
      <w:rFonts w:ascii="Calibri" w:hAnsi="Calibri"/>
      <w:szCs w:val="22"/>
    </w:rPr>
  </w:style>
  <w:style w:type="paragraph" w:styleId="33">
    <w:name w:val="Subtitle"/>
    <w:basedOn w:val="1"/>
    <w:next w:val="1"/>
    <w:link w:val="100"/>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unhideWhenUsed/>
    <w:qFormat/>
    <w:uiPriority w:val="39"/>
    <w:pPr>
      <w:ind w:left="2100" w:leftChars="1000"/>
    </w:pPr>
    <w:rPr>
      <w:rFonts w:ascii="Calibri" w:hAnsi="Calibri"/>
      <w:szCs w:val="22"/>
    </w:rPr>
  </w:style>
  <w:style w:type="paragraph" w:styleId="35">
    <w:name w:val="Body Text Indent 3"/>
    <w:basedOn w:val="1"/>
    <w:link w:val="125"/>
    <w:qFormat/>
    <w:uiPriority w:val="0"/>
    <w:pPr>
      <w:spacing w:after="120"/>
      <w:ind w:left="420" w:leftChars="200"/>
    </w:pPr>
    <w:rPr>
      <w:sz w:val="16"/>
      <w:szCs w:val="20"/>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unhideWhenUsed/>
    <w:qFormat/>
    <w:uiPriority w:val="39"/>
    <w:pPr>
      <w:ind w:left="3360" w:leftChars="1600"/>
    </w:pPr>
    <w:rPr>
      <w:rFonts w:ascii="Calibri" w:hAnsi="Calibri"/>
      <w:szCs w:val="22"/>
    </w:rPr>
  </w:style>
  <w:style w:type="paragraph" w:styleId="3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hAnsi="Calibri" w:eastAsia="仿宋_GB2312"/>
      <w:szCs w:val="22"/>
    </w:rPr>
  </w:style>
  <w:style w:type="paragraph" w:styleId="41">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6"/>
    <w:next w:val="16"/>
    <w:link w:val="115"/>
    <w:qFormat/>
    <w:uiPriority w:val="0"/>
    <w:rPr>
      <w:b/>
      <w:bCs/>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rFonts w:cs="Times New Roman"/>
      <w:b/>
    </w:rPr>
  </w:style>
  <w:style w:type="character" w:styleId="47">
    <w:name w:val="page number"/>
    <w:qFormat/>
    <w:uiPriority w:val="0"/>
    <w:rPr>
      <w:rFonts w:eastAsia="宋体"/>
      <w:b/>
      <w:spacing w:val="0"/>
      <w:kern w:val="2"/>
      <w:sz w:val="24"/>
      <w:szCs w:val="24"/>
      <w:vertAlign w:val="baseline"/>
      <w:lang w:val="en-US" w:eastAsia="zh-CN" w:bidi="ar-SA"/>
    </w:rPr>
  </w:style>
  <w:style w:type="character" w:styleId="48">
    <w:name w:val="FollowedHyperlink"/>
    <w:qFormat/>
    <w:uiPriority w:val="0"/>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styleId="52">
    <w:name w:val="HTML Cite"/>
    <w:qFormat/>
    <w:uiPriority w:val="0"/>
    <w:rPr>
      <w:color w:val="008000"/>
    </w:rPr>
  </w:style>
  <w:style w:type="character" w:customStyle="1" w:styleId="53">
    <w:name w:val="明显强调1"/>
    <w:qFormat/>
    <w:uiPriority w:val="0"/>
    <w:rPr>
      <w:b/>
      <w:bCs/>
      <w:i/>
      <w:iCs/>
      <w:color w:val="4F81BD"/>
    </w:rPr>
  </w:style>
  <w:style w:type="character" w:customStyle="1" w:styleId="54">
    <w:name w:val="批注文字 Char2"/>
    <w:qFormat/>
    <w:uiPriority w:val="0"/>
    <w:rPr>
      <w:kern w:val="2"/>
      <w:sz w:val="21"/>
    </w:rPr>
  </w:style>
  <w:style w:type="character" w:customStyle="1" w:styleId="55">
    <w:name w:val="标题 3 Char_0"/>
    <w:link w:val="56"/>
    <w:qFormat/>
    <w:uiPriority w:val="0"/>
    <w:rPr>
      <w:b/>
      <w:bCs/>
      <w:sz w:val="32"/>
      <w:szCs w:val="32"/>
    </w:rPr>
  </w:style>
  <w:style w:type="paragraph" w:customStyle="1" w:styleId="56">
    <w:name w:val="标题 3_0"/>
    <w:basedOn w:val="57"/>
    <w:next w:val="57"/>
    <w:link w:val="55"/>
    <w:qFormat/>
    <w:uiPriority w:val="0"/>
    <w:pPr>
      <w:keepNext/>
      <w:keepLines/>
      <w:spacing w:before="260" w:after="260" w:line="416" w:lineRule="auto"/>
      <w:outlineLvl w:val="2"/>
    </w:pPr>
    <w:rPr>
      <w:b/>
      <w:bCs/>
      <w:kern w:val="0"/>
      <w:sz w:val="32"/>
      <w:szCs w:val="32"/>
    </w:rPr>
  </w:style>
  <w:style w:type="paragraph" w:customStyle="1" w:styleId="5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标题 2 字符"/>
    <w:link w:val="3"/>
    <w:qFormat/>
    <w:uiPriority w:val="0"/>
    <w:rPr>
      <w:rFonts w:ascii="Cambria" w:hAnsi="Cambria"/>
      <w:b/>
      <w:bCs/>
      <w:kern w:val="2"/>
      <w:sz w:val="32"/>
      <w:szCs w:val="32"/>
    </w:rPr>
  </w:style>
  <w:style w:type="character" w:customStyle="1" w:styleId="59">
    <w:name w:val="正文文本 Char2"/>
    <w:semiHidden/>
    <w:qFormat/>
    <w:uiPriority w:val="99"/>
    <w:rPr>
      <w:rFonts w:ascii="Calibri" w:hAnsi="Calibri" w:eastAsia="宋体" w:cs="Times New Roman"/>
    </w:rPr>
  </w:style>
  <w:style w:type="character" w:customStyle="1" w:styleId="60">
    <w:name w:val="页脚 Char1"/>
    <w:semiHidden/>
    <w:qFormat/>
    <w:uiPriority w:val="99"/>
    <w:rPr>
      <w:rFonts w:ascii="Calibri" w:hAnsi="Calibri" w:eastAsia="宋体" w:cs="Times New Roman"/>
      <w:sz w:val="18"/>
      <w:szCs w:val="18"/>
    </w:rPr>
  </w:style>
  <w:style w:type="character" w:customStyle="1" w:styleId="61">
    <w:name w:val="明显引用 Char2"/>
    <w:qFormat/>
    <w:uiPriority w:val="99"/>
    <w:rPr>
      <w:b/>
      <w:bCs/>
      <w:i/>
      <w:iCs/>
      <w:color w:val="4F81BD"/>
      <w:kern w:val="2"/>
      <w:sz w:val="21"/>
      <w:szCs w:val="24"/>
    </w:rPr>
  </w:style>
  <w:style w:type="character" w:customStyle="1" w:styleId="62">
    <w:name w:val="引用 Char"/>
    <w:link w:val="63"/>
    <w:qFormat/>
    <w:uiPriority w:val="0"/>
    <w:rPr>
      <w:i/>
      <w:iCs/>
      <w:color w:val="000000"/>
    </w:rPr>
  </w:style>
  <w:style w:type="paragraph" w:customStyle="1" w:styleId="63">
    <w:name w:val="引用1"/>
    <w:basedOn w:val="1"/>
    <w:next w:val="1"/>
    <w:link w:val="62"/>
    <w:qFormat/>
    <w:uiPriority w:val="0"/>
    <w:rPr>
      <w:i/>
      <w:iCs/>
      <w:color w:val="000000"/>
      <w:kern w:val="0"/>
      <w:sz w:val="20"/>
      <w:szCs w:val="20"/>
    </w:rPr>
  </w:style>
  <w:style w:type="character" w:customStyle="1" w:styleId="64">
    <w:name w:val="标题 1 Char_0"/>
    <w:link w:val="65"/>
    <w:qFormat/>
    <w:uiPriority w:val="0"/>
    <w:rPr>
      <w:b/>
      <w:bCs/>
      <w:kern w:val="44"/>
      <w:sz w:val="44"/>
      <w:szCs w:val="44"/>
    </w:rPr>
  </w:style>
  <w:style w:type="paragraph" w:customStyle="1" w:styleId="65">
    <w:name w:val="标题 1_0"/>
    <w:basedOn w:val="57"/>
    <w:next w:val="57"/>
    <w:link w:val="64"/>
    <w:qFormat/>
    <w:uiPriority w:val="0"/>
    <w:pPr>
      <w:keepNext/>
      <w:keepLines/>
      <w:spacing w:before="340" w:after="330" w:line="578" w:lineRule="auto"/>
      <w:outlineLvl w:val="0"/>
    </w:pPr>
    <w:rPr>
      <w:b/>
      <w:bCs/>
      <w:kern w:val="44"/>
      <w:sz w:val="44"/>
      <w:szCs w:val="44"/>
    </w:rPr>
  </w:style>
  <w:style w:type="character" w:customStyle="1" w:styleId="66">
    <w:name w:val="正文文本缩进 3 Char1"/>
    <w:semiHidden/>
    <w:qFormat/>
    <w:uiPriority w:val="99"/>
    <w:rPr>
      <w:kern w:val="2"/>
      <w:sz w:val="16"/>
      <w:szCs w:val="16"/>
    </w:rPr>
  </w:style>
  <w:style w:type="character" w:customStyle="1" w:styleId="67">
    <w:name w:val="引用 Char1"/>
    <w:qFormat/>
    <w:uiPriority w:val="29"/>
    <w:rPr>
      <w:i/>
      <w:iCs/>
      <w:color w:val="000000"/>
      <w:kern w:val="2"/>
      <w:sz w:val="21"/>
    </w:rPr>
  </w:style>
  <w:style w:type="character" w:customStyle="1" w:styleId="68">
    <w:name w:val="正文文本缩进 字符"/>
    <w:link w:val="19"/>
    <w:qFormat/>
    <w:uiPriority w:val="0"/>
    <w:rPr>
      <w:kern w:val="2"/>
      <w:sz w:val="21"/>
      <w:szCs w:val="24"/>
    </w:rPr>
  </w:style>
  <w:style w:type="character" w:customStyle="1" w:styleId="69">
    <w:name w:val="font161"/>
    <w:qFormat/>
    <w:uiPriority w:val="0"/>
    <w:rPr>
      <w:b/>
      <w:sz w:val="32"/>
    </w:rPr>
  </w:style>
  <w:style w:type="character" w:customStyle="1" w:styleId="70">
    <w:name w:val="标题 4 Char_0"/>
    <w:link w:val="71"/>
    <w:qFormat/>
    <w:uiPriority w:val="0"/>
    <w:rPr>
      <w:rFonts w:ascii="Arial" w:hAnsi="Arial" w:eastAsia="黑体"/>
      <w:b/>
      <w:bCs/>
      <w:sz w:val="28"/>
      <w:szCs w:val="28"/>
    </w:rPr>
  </w:style>
  <w:style w:type="paragraph" w:customStyle="1" w:styleId="71">
    <w:name w:val="标题 4_0"/>
    <w:basedOn w:val="57"/>
    <w:next w:val="57"/>
    <w:link w:val="70"/>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2">
    <w:name w:val="页眉 字符"/>
    <w:link w:val="30"/>
    <w:qFormat/>
    <w:uiPriority w:val="0"/>
    <w:rPr>
      <w:kern w:val="2"/>
      <w:sz w:val="18"/>
      <w:szCs w:val="18"/>
    </w:rPr>
  </w:style>
  <w:style w:type="character" w:customStyle="1" w:styleId="73">
    <w:name w:val="标题 6 字符"/>
    <w:link w:val="7"/>
    <w:qFormat/>
    <w:uiPriority w:val="0"/>
    <w:rPr>
      <w:rFonts w:ascii="Cambria" w:hAnsi="Cambria" w:eastAsia="宋体" w:cs="Times New Roman"/>
      <w:b/>
      <w:bCs/>
      <w:kern w:val="2"/>
      <w:sz w:val="24"/>
      <w:szCs w:val="24"/>
    </w:rPr>
  </w:style>
  <w:style w:type="character" w:customStyle="1" w:styleId="74">
    <w:name w:val="纯文本 字符"/>
    <w:link w:val="24"/>
    <w:qFormat/>
    <w:uiPriority w:val="0"/>
    <w:rPr>
      <w:rFonts w:ascii="Ari"/>
      <w:lang w:val="en-US" w:eastAsia="zh-CN" w:bidi="ar-SA"/>
    </w:rPr>
  </w:style>
  <w:style w:type="character" w:customStyle="1" w:styleId="75">
    <w:name w:val="引用 Char2"/>
    <w:qFormat/>
    <w:uiPriority w:val="99"/>
    <w:rPr>
      <w:i/>
      <w:iCs/>
      <w:color w:val="000000"/>
      <w:kern w:val="2"/>
      <w:sz w:val="21"/>
      <w:szCs w:val="24"/>
    </w:rPr>
  </w:style>
  <w:style w:type="character" w:customStyle="1" w:styleId="76">
    <w:name w:val="rvts11"/>
    <w:qFormat/>
    <w:uiPriority w:val="0"/>
    <w:rPr>
      <w:rFonts w:hint="default" w:ascii="KNLe" w:hAnsi="KNLe"/>
      <w:sz w:val="24"/>
      <w:szCs w:val="24"/>
      <w:u w:val="single"/>
    </w:rPr>
  </w:style>
  <w:style w:type="character" w:customStyle="1" w:styleId="77">
    <w:name w:val="标题 字符"/>
    <w:link w:val="41"/>
    <w:qFormat/>
    <w:uiPriority w:val="0"/>
    <w:rPr>
      <w:rFonts w:ascii="Arial" w:hAnsi="Arial"/>
      <w:b/>
      <w:sz w:val="32"/>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4"/>
    <w:link w:val="78"/>
    <w:qFormat/>
    <w:uiPriority w:val="0"/>
    <w:pPr>
      <w:numPr>
        <w:ilvl w:val="0"/>
        <w:numId w:val="0"/>
      </w:numPr>
      <w:spacing w:line="413" w:lineRule="auto"/>
    </w:pPr>
    <w:rPr>
      <w:rFonts w:ascii="Arial" w:hAnsi="Arial"/>
      <w:kern w:val="0"/>
      <w:sz w:val="24"/>
    </w:rPr>
  </w:style>
  <w:style w:type="character" w:customStyle="1" w:styleId="80">
    <w:name w:val="副标题 Char2"/>
    <w:qFormat/>
    <w:uiPriority w:val="11"/>
    <w:rPr>
      <w:rFonts w:ascii="Cambria" w:hAnsi="Cambria" w:cs="Times New Roman"/>
      <w:b/>
      <w:bCs/>
      <w:kern w:val="28"/>
      <w:sz w:val="32"/>
      <w:szCs w:val="32"/>
    </w:rPr>
  </w:style>
  <w:style w:type="character" w:customStyle="1" w:styleId="81">
    <w:name w:val="文档结构图 字符"/>
    <w:link w:val="15"/>
    <w:qFormat/>
    <w:uiPriority w:val="0"/>
    <w:rPr>
      <w:rFonts w:ascii="宋体"/>
      <w:kern w:val="2"/>
      <w:sz w:val="18"/>
      <w:szCs w:val="18"/>
    </w:rPr>
  </w:style>
  <w:style w:type="character" w:customStyle="1" w:styleId="82">
    <w:name w:val="日期 字符"/>
    <w:link w:val="26"/>
    <w:qFormat/>
    <w:uiPriority w:val="0"/>
    <w:rPr>
      <w:kern w:val="2"/>
      <w:sz w:val="21"/>
      <w:szCs w:val="24"/>
    </w:rPr>
  </w:style>
  <w:style w:type="character" w:customStyle="1" w:styleId="83">
    <w:name w:val="批注主题 Char1"/>
    <w:qFormat/>
    <w:uiPriority w:val="0"/>
    <w:rPr>
      <w:b/>
      <w:bCs/>
      <w:kern w:val="2"/>
      <w:sz w:val="21"/>
      <w:szCs w:val="22"/>
    </w:rPr>
  </w:style>
  <w:style w:type="character" w:customStyle="1" w:styleId="84">
    <w:name w:val="font31"/>
    <w:qFormat/>
    <w:uiPriority w:val="0"/>
    <w:rPr>
      <w:rFonts w:hint="eastAsia" w:ascii="宋体" w:hAnsi="宋体" w:eastAsia="宋体" w:cs="宋体"/>
      <w:color w:val="000000"/>
      <w:sz w:val="20"/>
      <w:szCs w:val="20"/>
      <w:u w:val="none"/>
    </w:rPr>
  </w:style>
  <w:style w:type="character" w:customStyle="1" w:styleId="85">
    <w:name w:val="明显引用 Char"/>
    <w:link w:val="86"/>
    <w:qFormat/>
    <w:uiPriority w:val="0"/>
    <w:rPr>
      <w:b/>
      <w:bCs/>
      <w:i/>
      <w:iCs/>
      <w:color w:val="4F81BD"/>
    </w:rPr>
  </w:style>
  <w:style w:type="paragraph" w:customStyle="1" w:styleId="86">
    <w:name w:val="明显引用1"/>
    <w:basedOn w:val="1"/>
    <w:next w:val="1"/>
    <w:link w:val="8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7">
    <w:name w:val="标题 5 字符"/>
    <w:link w:val="6"/>
    <w:qFormat/>
    <w:uiPriority w:val="0"/>
    <w:rPr>
      <w:b/>
      <w:bCs/>
      <w:kern w:val="2"/>
      <w:sz w:val="28"/>
      <w:szCs w:val="28"/>
    </w:rPr>
  </w:style>
  <w:style w:type="character" w:customStyle="1" w:styleId="88">
    <w:name w:val="日期 Char1"/>
    <w:qFormat/>
    <w:uiPriority w:val="0"/>
    <w:rPr>
      <w:rFonts w:ascii="Calibri" w:hAnsi="Calibri" w:eastAsia="宋体" w:cs="Times New Roman"/>
    </w:rPr>
  </w:style>
  <w:style w:type="character" w:customStyle="1" w:styleId="89">
    <w:name w:val="批注框文本 Char1"/>
    <w:qFormat/>
    <w:uiPriority w:val="0"/>
    <w:rPr>
      <w:kern w:val="2"/>
      <w:sz w:val="18"/>
      <w:szCs w:val="18"/>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标题 9 字符"/>
    <w:link w:val="10"/>
    <w:qFormat/>
    <w:uiPriority w:val="0"/>
    <w:rPr>
      <w:rFonts w:ascii="Cambria" w:hAnsi="Cambria" w:eastAsia="宋体" w:cs="Times New Roman"/>
      <w:kern w:val="2"/>
      <w:sz w:val="21"/>
      <w:szCs w:val="21"/>
    </w:rPr>
  </w:style>
  <w:style w:type="character" w:customStyle="1" w:styleId="92">
    <w:name w:val="不明显参考1"/>
    <w:qFormat/>
    <w:uiPriority w:val="0"/>
    <w:rPr>
      <w:smallCaps/>
      <w:color w:val="C0504D"/>
      <w:u w:val="single"/>
    </w:rPr>
  </w:style>
  <w:style w:type="character" w:customStyle="1" w:styleId="93">
    <w:name w:val="批注文字 Char1"/>
    <w:qFormat/>
    <w:uiPriority w:val="0"/>
    <w:rPr>
      <w:rFonts w:ascii="Calibri" w:hAnsi="Calibri" w:eastAsia="宋体" w:cs="Times New Roman"/>
    </w:rPr>
  </w:style>
  <w:style w:type="character" w:customStyle="1" w:styleId="94">
    <w:name w:val="标题 Char2"/>
    <w:qFormat/>
    <w:uiPriority w:val="10"/>
    <w:rPr>
      <w:rFonts w:ascii="Cambria" w:hAnsi="Cambria" w:cs="Times New Roman"/>
      <w:b/>
      <w:bCs/>
      <w:kern w:val="2"/>
      <w:sz w:val="32"/>
      <w:szCs w:val="32"/>
    </w:rPr>
  </w:style>
  <w:style w:type="character" w:customStyle="1" w:styleId="95">
    <w:name w:val="正文文本 3 Char1"/>
    <w:semiHidden/>
    <w:qFormat/>
    <w:uiPriority w:val="99"/>
    <w:rPr>
      <w:kern w:val="2"/>
      <w:sz w:val="16"/>
      <w:szCs w:val="16"/>
    </w:rPr>
  </w:style>
  <w:style w:type="character" w:customStyle="1" w:styleId="96">
    <w:name w:val="批注主题 Char2"/>
    <w:qFormat/>
    <w:uiPriority w:val="0"/>
    <w:rPr>
      <w:b/>
      <w:bCs/>
      <w:kern w:val="2"/>
      <w:sz w:val="21"/>
    </w:rPr>
  </w:style>
  <w:style w:type="character" w:customStyle="1" w:styleId="97">
    <w:name w:val="标题 3 字符"/>
    <w:link w:val="4"/>
    <w:qFormat/>
    <w:uiPriority w:val="0"/>
    <w:rPr>
      <w:b/>
      <w:bCs/>
      <w:kern w:val="2"/>
      <w:sz w:val="32"/>
      <w:szCs w:val="32"/>
    </w:rPr>
  </w:style>
  <w:style w:type="character" w:customStyle="1" w:styleId="98">
    <w:name w:val="正文文本 Char_0"/>
    <w:link w:val="99"/>
    <w:qFormat/>
    <w:uiPriority w:val="0"/>
    <w:rPr>
      <w:szCs w:val="24"/>
    </w:rPr>
  </w:style>
  <w:style w:type="paragraph" w:customStyle="1" w:styleId="99">
    <w:name w:val="正文文本_0"/>
    <w:basedOn w:val="57"/>
    <w:link w:val="98"/>
    <w:qFormat/>
    <w:uiPriority w:val="0"/>
    <w:pPr>
      <w:spacing w:after="120"/>
    </w:pPr>
    <w:rPr>
      <w:kern w:val="0"/>
      <w:sz w:val="20"/>
    </w:rPr>
  </w:style>
  <w:style w:type="character" w:customStyle="1" w:styleId="100">
    <w:name w:val="副标题 字符"/>
    <w:link w:val="33"/>
    <w:qFormat/>
    <w:uiPriority w:val="0"/>
    <w:rPr>
      <w:rFonts w:ascii="Cambria" w:hAnsi="Cambria"/>
      <w:b/>
      <w:bCs/>
      <w:kern w:val="28"/>
      <w:sz w:val="32"/>
      <w:szCs w:val="32"/>
    </w:rPr>
  </w:style>
  <w:style w:type="character" w:customStyle="1" w:styleId="101">
    <w:name w:val="bookmark"/>
    <w:basedOn w:val="45"/>
    <w:qFormat/>
    <w:uiPriority w:val="0"/>
  </w:style>
  <w:style w:type="character" w:customStyle="1" w:styleId="102">
    <w:name w:val="标题 5 Char_0"/>
    <w:link w:val="103"/>
    <w:qFormat/>
    <w:uiPriority w:val="0"/>
    <w:rPr>
      <w:rFonts w:ascii="Calibri" w:hAnsi="Calibri"/>
      <w:b/>
      <w:bCs/>
      <w:sz w:val="28"/>
      <w:szCs w:val="28"/>
    </w:rPr>
  </w:style>
  <w:style w:type="paragraph" w:customStyle="1" w:styleId="103">
    <w:name w:val="标题 5_0"/>
    <w:basedOn w:val="57"/>
    <w:next w:val="57"/>
    <w:link w:val="102"/>
    <w:qFormat/>
    <w:uiPriority w:val="0"/>
    <w:pPr>
      <w:keepNext/>
      <w:keepLines/>
      <w:spacing w:before="280" w:after="290" w:line="372" w:lineRule="auto"/>
      <w:outlineLvl w:val="4"/>
    </w:pPr>
    <w:rPr>
      <w:rFonts w:ascii="Calibri" w:hAnsi="Calibri"/>
      <w:b/>
      <w:bCs/>
      <w:kern w:val="0"/>
      <w:sz w:val="28"/>
      <w:szCs w:val="28"/>
    </w:rPr>
  </w:style>
  <w:style w:type="character" w:customStyle="1" w:styleId="104">
    <w:name w:val="正文文本缩进 2 字符"/>
    <w:link w:val="27"/>
    <w:qFormat/>
    <w:uiPriority w:val="99"/>
    <w:rPr>
      <w:rFonts w:ascii="宋体"/>
    </w:rPr>
  </w:style>
  <w:style w:type="character" w:customStyle="1" w:styleId="105">
    <w:name w:val="批注文字 字符"/>
    <w:link w:val="16"/>
    <w:qFormat/>
    <w:uiPriority w:val="99"/>
    <w:rPr>
      <w:kern w:val="2"/>
      <w:sz w:val="21"/>
      <w:szCs w:val="24"/>
    </w:rPr>
  </w:style>
  <w:style w:type="character" w:customStyle="1" w:styleId="106">
    <w:name w:val="font11"/>
    <w:qFormat/>
    <w:uiPriority w:val="0"/>
    <w:rPr>
      <w:rFonts w:hint="eastAsia" w:ascii="宋体" w:hAnsi="宋体" w:eastAsia="宋体" w:cs="宋体"/>
      <w:color w:val="000000"/>
      <w:sz w:val="20"/>
      <w:szCs w:val="20"/>
      <w:u w:val="none"/>
    </w:rPr>
  </w:style>
  <w:style w:type="character" w:customStyle="1" w:styleId="107">
    <w:name w:val="明显参考1"/>
    <w:qFormat/>
    <w:uiPriority w:val="0"/>
    <w:rPr>
      <w:b/>
      <w:bCs/>
      <w:smallCaps/>
      <w:color w:val="C0504D"/>
      <w:spacing w:val="5"/>
      <w:u w:val="single"/>
    </w:rPr>
  </w:style>
  <w:style w:type="character" w:customStyle="1" w:styleId="108">
    <w:name w:val="超链接_0"/>
    <w:qFormat/>
    <w:uiPriority w:val="99"/>
    <w:rPr>
      <w:rFonts w:ascii="Calibri" w:hAnsi="Calibri"/>
      <w:color w:val="0000FF"/>
      <w:u w:val="single"/>
    </w:rPr>
  </w:style>
  <w:style w:type="character" w:customStyle="1" w:styleId="109">
    <w:name w:val="文档结构图 Char2"/>
    <w:semiHidden/>
    <w:qFormat/>
    <w:uiPriority w:val="99"/>
    <w:rPr>
      <w:rFonts w:ascii="宋体" w:hAnsi="Calibri" w:eastAsia="宋体" w:cs="Times New Roman"/>
      <w:sz w:val="18"/>
      <w:szCs w:val="18"/>
    </w:rPr>
  </w:style>
  <w:style w:type="character" w:customStyle="1" w:styleId="110">
    <w:name w:val="textcontents"/>
    <w:qFormat/>
    <w:uiPriority w:val="0"/>
    <w:rPr>
      <w:rFonts w:cs="Times New Roman"/>
    </w:rPr>
  </w:style>
  <w:style w:type="character" w:customStyle="1" w:styleId="111">
    <w:name w:val="标题 1 Char"/>
    <w:qFormat/>
    <w:uiPriority w:val="0"/>
    <w:rPr>
      <w:b/>
      <w:bCs/>
      <w:kern w:val="44"/>
      <w:sz w:val="32"/>
      <w:szCs w:val="44"/>
    </w:rPr>
  </w:style>
  <w:style w:type="character" w:customStyle="1" w:styleId="112">
    <w:name w:val="正文文本 字符"/>
    <w:link w:val="18"/>
    <w:qFormat/>
    <w:uiPriority w:val="0"/>
    <w:rPr>
      <w:rFonts w:eastAsia="幼圆"/>
      <w:b/>
      <w:bCs/>
      <w:kern w:val="2"/>
      <w:sz w:val="44"/>
      <w:szCs w:val="24"/>
    </w:rPr>
  </w:style>
  <w:style w:type="character" w:customStyle="1" w:styleId="113">
    <w:name w:val="标题 8 字符"/>
    <w:link w:val="9"/>
    <w:qFormat/>
    <w:uiPriority w:val="0"/>
    <w:rPr>
      <w:rFonts w:ascii="Cambria" w:hAnsi="Cambria" w:eastAsia="宋体" w:cs="Times New Roman"/>
      <w:kern w:val="2"/>
      <w:sz w:val="24"/>
      <w:szCs w:val="24"/>
    </w:rPr>
  </w:style>
  <w:style w:type="character" w:customStyle="1" w:styleId="114">
    <w:name w:val="副标题 Char1"/>
    <w:qFormat/>
    <w:uiPriority w:val="11"/>
    <w:rPr>
      <w:rFonts w:ascii="Cambria" w:hAnsi="Cambria" w:cs="Times New Roman"/>
      <w:b/>
      <w:bCs/>
      <w:kern w:val="28"/>
      <w:sz w:val="32"/>
      <w:szCs w:val="32"/>
    </w:rPr>
  </w:style>
  <w:style w:type="character" w:customStyle="1" w:styleId="115">
    <w:name w:val="批注主题 字符"/>
    <w:link w:val="42"/>
    <w:qFormat/>
    <w:uiPriority w:val="0"/>
    <w:rPr>
      <w:b/>
      <w:bCs/>
      <w:kern w:val="2"/>
      <w:sz w:val="21"/>
      <w:szCs w:val="24"/>
    </w:rPr>
  </w:style>
  <w:style w:type="character" w:customStyle="1" w:styleId="116">
    <w:name w:val="书籍标题1"/>
    <w:qFormat/>
    <w:uiPriority w:val="0"/>
    <w:rPr>
      <w:b/>
      <w:bCs/>
      <w:smallCaps/>
      <w:spacing w:val="5"/>
    </w:rPr>
  </w:style>
  <w:style w:type="character" w:customStyle="1" w:styleId="117">
    <w:name w:val="页脚 字符"/>
    <w:link w:val="29"/>
    <w:qFormat/>
    <w:uiPriority w:val="99"/>
    <w:rPr>
      <w:kern w:val="2"/>
      <w:sz w:val="18"/>
      <w:szCs w:val="18"/>
    </w:rPr>
  </w:style>
  <w:style w:type="character" w:customStyle="1" w:styleId="118">
    <w:name w:val="标题4 Char Char"/>
    <w:link w:val="119"/>
    <w:qFormat/>
    <w:uiPriority w:val="0"/>
    <w:rPr>
      <w:rFonts w:ascii="Arial" w:hAnsi="Arial"/>
      <w:b/>
      <w:bCs/>
      <w:sz w:val="24"/>
      <w:szCs w:val="32"/>
    </w:rPr>
  </w:style>
  <w:style w:type="paragraph" w:customStyle="1" w:styleId="119">
    <w:name w:val="标题4"/>
    <w:basedOn w:val="3"/>
    <w:next w:val="21"/>
    <w:link w:val="118"/>
    <w:qFormat/>
    <w:uiPriority w:val="0"/>
    <w:pPr>
      <w:numPr>
        <w:ilvl w:val="0"/>
        <w:numId w:val="0"/>
      </w:numPr>
      <w:spacing w:line="413" w:lineRule="auto"/>
    </w:pPr>
    <w:rPr>
      <w:rFonts w:ascii="Arial" w:hAnsi="Arial"/>
      <w:kern w:val="0"/>
      <w:sz w:val="24"/>
    </w:rPr>
  </w:style>
  <w:style w:type="character" w:customStyle="1" w:styleId="120">
    <w:name w:val="正文文本 Char1"/>
    <w:qFormat/>
    <w:uiPriority w:val="0"/>
    <w:rPr>
      <w:rFonts w:ascii="Calibri" w:hAnsi="Calibri" w:eastAsia="宋体" w:cs="Times New Roman"/>
    </w:rPr>
  </w:style>
  <w:style w:type="character" w:customStyle="1" w:styleId="121">
    <w:name w:val="明显引用 Char1"/>
    <w:qFormat/>
    <w:uiPriority w:val="30"/>
    <w:rPr>
      <w:b/>
      <w:bCs/>
      <w:i/>
      <w:iCs/>
      <w:color w:val="4F81BD"/>
      <w:kern w:val="2"/>
      <w:sz w:val="21"/>
    </w:rPr>
  </w:style>
  <w:style w:type="character" w:customStyle="1" w:styleId="122">
    <w:name w:val="页眉 Char1"/>
    <w:semiHidden/>
    <w:qFormat/>
    <w:uiPriority w:val="99"/>
    <w:rPr>
      <w:rFonts w:ascii="Calibri" w:hAnsi="Calibri" w:eastAsia="宋体" w:cs="Times New Roman"/>
      <w:sz w:val="18"/>
      <w:szCs w:val="18"/>
    </w:rPr>
  </w:style>
  <w:style w:type="character" w:customStyle="1" w:styleId="123">
    <w:name w:val="不明显强调1"/>
    <w:qFormat/>
    <w:uiPriority w:val="0"/>
    <w:rPr>
      <w:i/>
      <w:iCs/>
      <w:color w:val="808080"/>
    </w:rPr>
  </w:style>
  <w:style w:type="character" w:customStyle="1" w:styleId="124">
    <w:name w:val="正文文本 3 字符"/>
    <w:link w:val="17"/>
    <w:qFormat/>
    <w:uiPriority w:val="0"/>
    <w:rPr>
      <w:rFonts w:ascii="宋体"/>
      <w:kern w:val="2"/>
      <w:sz w:val="24"/>
    </w:rPr>
  </w:style>
  <w:style w:type="character" w:customStyle="1" w:styleId="125">
    <w:name w:val="正文文本缩进 3 字符"/>
    <w:link w:val="35"/>
    <w:qFormat/>
    <w:uiPriority w:val="0"/>
    <w:rPr>
      <w:kern w:val="2"/>
      <w:sz w:val="16"/>
    </w:rPr>
  </w:style>
  <w:style w:type="character" w:customStyle="1" w:styleId="126">
    <w:name w:val="font21"/>
    <w:qFormat/>
    <w:uiPriority w:val="0"/>
    <w:rPr>
      <w:rFonts w:hint="eastAsia" w:ascii="宋体" w:hAnsi="宋体" w:eastAsia="宋体" w:cs="宋体"/>
      <w:color w:val="000000"/>
      <w:sz w:val="20"/>
      <w:szCs w:val="20"/>
      <w:u w:val="none"/>
    </w:rPr>
  </w:style>
  <w:style w:type="character" w:customStyle="1" w:styleId="127">
    <w:name w:val="批注框文本 字符"/>
    <w:link w:val="28"/>
    <w:qFormat/>
    <w:uiPriority w:val="0"/>
    <w:rPr>
      <w:kern w:val="2"/>
      <w:sz w:val="18"/>
      <w:szCs w:val="18"/>
    </w:rPr>
  </w:style>
  <w:style w:type="character" w:customStyle="1" w:styleId="128">
    <w:name w:val="标题 7 字符"/>
    <w:link w:val="8"/>
    <w:qFormat/>
    <w:uiPriority w:val="0"/>
    <w:rPr>
      <w:b/>
      <w:bCs/>
      <w:kern w:val="2"/>
      <w:sz w:val="24"/>
      <w:szCs w:val="24"/>
    </w:rPr>
  </w:style>
  <w:style w:type="character" w:customStyle="1" w:styleId="129">
    <w:name w:val="标题 1 字符"/>
    <w:link w:val="2"/>
    <w:qFormat/>
    <w:uiPriority w:val="0"/>
    <w:rPr>
      <w:rFonts w:ascii="Times New Roman" w:hAnsi="Times New Roman" w:eastAsia="宋体" w:cs="Times New Roman"/>
      <w:b/>
      <w:bCs/>
      <w:kern w:val="44"/>
      <w:sz w:val="32"/>
      <w:szCs w:val="44"/>
    </w:rPr>
  </w:style>
  <w:style w:type="character" w:customStyle="1" w:styleId="130">
    <w:name w:val="文档结构图 Char1"/>
    <w:qFormat/>
    <w:uiPriority w:val="0"/>
    <w:rPr>
      <w:rFonts w:ascii="宋体" w:hAnsi="Calibri" w:eastAsia="宋体" w:cs="Times New Roman"/>
      <w:sz w:val="18"/>
      <w:szCs w:val="18"/>
    </w:rPr>
  </w:style>
  <w:style w:type="character" w:customStyle="1" w:styleId="131">
    <w:name w:val="标题 2 Char_0"/>
    <w:link w:val="132"/>
    <w:qFormat/>
    <w:uiPriority w:val="0"/>
    <w:rPr>
      <w:rFonts w:ascii="Cambria" w:hAnsi="Cambria"/>
      <w:b/>
      <w:bCs/>
      <w:sz w:val="32"/>
      <w:szCs w:val="32"/>
    </w:rPr>
  </w:style>
  <w:style w:type="paragraph" w:customStyle="1" w:styleId="132">
    <w:name w:val="标题 2_0"/>
    <w:basedOn w:val="57"/>
    <w:next w:val="57"/>
    <w:link w:val="131"/>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3">
    <w:name w:val="日期 Char2"/>
    <w:semiHidden/>
    <w:qFormat/>
    <w:uiPriority w:val="99"/>
    <w:rPr>
      <w:rFonts w:ascii="Calibri" w:hAnsi="Calibri" w:eastAsia="宋体" w:cs="Times New Roman"/>
    </w:rPr>
  </w:style>
  <w:style w:type="character" w:customStyle="1" w:styleId="134">
    <w:name w:val="批注框文本 Char2"/>
    <w:semiHidden/>
    <w:qFormat/>
    <w:uiPriority w:val="99"/>
    <w:rPr>
      <w:rFonts w:ascii="Calibri" w:hAnsi="Calibri" w:eastAsia="宋体" w:cs="Times New Roman"/>
      <w:sz w:val="18"/>
      <w:szCs w:val="18"/>
    </w:rPr>
  </w:style>
  <w:style w:type="character" w:customStyle="1" w:styleId="135">
    <w:name w:val="标题 4 字符"/>
    <w:link w:val="5"/>
    <w:qFormat/>
    <w:uiPriority w:val="0"/>
    <w:rPr>
      <w:rFonts w:ascii="Cambria" w:hAnsi="Cambria" w:eastAsia="宋体" w:cs="Times New Roman"/>
      <w:b/>
      <w:bCs/>
      <w:kern w:val="2"/>
      <w:sz w:val="28"/>
      <w:szCs w:val="28"/>
    </w:rPr>
  </w:style>
  <w:style w:type="character" w:customStyle="1" w:styleId="136">
    <w:name w:val="列出段落 Char"/>
    <w:link w:val="137"/>
    <w:qFormat/>
    <w:locked/>
    <w:uiPriority w:val="99"/>
    <w:rPr>
      <w:kern w:val="2"/>
      <w:sz w:val="21"/>
      <w:szCs w:val="24"/>
    </w:rPr>
  </w:style>
  <w:style w:type="paragraph" w:customStyle="1" w:styleId="137">
    <w:name w:val="List Paragraph1"/>
    <w:basedOn w:val="1"/>
    <w:link w:val="136"/>
    <w:qFormat/>
    <w:uiPriority w:val="99"/>
    <w:pPr>
      <w:ind w:firstLine="420" w:firstLineChars="200"/>
    </w:pPr>
  </w:style>
  <w:style w:type="paragraph" w:customStyle="1" w:styleId="138">
    <w:name w:val="样式 标题 3 + (中文) 黑体 小四 非加粗 段前: 7.8 磅 段后: 0 磅 行距: 固定值 20 磅"/>
    <w:basedOn w:val="4"/>
    <w:next w:val="1"/>
    <w:qFormat/>
    <w:uiPriority w:val="0"/>
    <w:pPr>
      <w:spacing w:before="0" w:after="0" w:line="400" w:lineRule="exact"/>
    </w:pPr>
    <w:rPr>
      <w:rFonts w:eastAsia="黑体" w:cs="宋体"/>
      <w:b w:val="0"/>
      <w:bCs w:val="0"/>
      <w:sz w:val="24"/>
      <w:szCs w:val="20"/>
    </w:rPr>
  </w:style>
  <w:style w:type="paragraph" w:customStyle="1" w:styleId="139">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1">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3">
    <w:name w:val="1方案格式1"/>
    <w:basedOn w:val="2"/>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4">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45">
    <w:name w:val="正文1"/>
    <w:qFormat/>
    <w:uiPriority w:val="0"/>
    <w:pPr>
      <w:widowControl w:val="0"/>
      <w:jc w:val="both"/>
    </w:pPr>
    <w:rPr>
      <w:rFonts w:ascii="Calibri" w:hAnsi="Calibri" w:eastAsia="宋体" w:cs="Times New Roman"/>
      <w:lang w:val="en-US" w:eastAsia="zh-CN" w:bidi="ar-SA"/>
    </w:rPr>
  </w:style>
  <w:style w:type="paragraph" w:customStyle="1" w:styleId="146">
    <w:name w:val="列出段落1"/>
    <w:basedOn w:val="1"/>
    <w:qFormat/>
    <w:uiPriority w:val="99"/>
    <w:pPr>
      <w:widowControl/>
      <w:ind w:left="720"/>
      <w:contextualSpacing/>
      <w:jc w:val="left"/>
    </w:pPr>
    <w:rPr>
      <w:rFonts w:ascii="Arial" w:hAnsi="Arial" w:eastAsia="黑体"/>
      <w:kern w:val="0"/>
      <w:sz w:val="24"/>
      <w:lang w:eastAsia="en-US"/>
    </w:rPr>
  </w:style>
  <w:style w:type="paragraph" w:customStyle="1" w:styleId="147">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48">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49">
    <w:name w:val="目录 5_0"/>
    <w:basedOn w:val="57"/>
    <w:next w:val="57"/>
    <w:qFormat/>
    <w:uiPriority w:val="39"/>
    <w:pPr>
      <w:ind w:left="1680" w:leftChars="800"/>
    </w:pPr>
    <w:rPr>
      <w:rFonts w:ascii="Calibri" w:hAnsi="Calibri"/>
    </w:rPr>
  </w:style>
  <w:style w:type="paragraph" w:customStyle="1" w:styleId="150">
    <w:name w:val="修订1"/>
    <w:qFormat/>
    <w:uiPriority w:val="0"/>
    <w:rPr>
      <w:rFonts w:ascii="Times New Roman" w:hAnsi="Times New Roman" w:eastAsia="宋体" w:cs="Times New Roman"/>
      <w:kern w:val="2"/>
      <w:sz w:val="21"/>
      <w:szCs w:val="24"/>
      <w:lang w:val="en-US" w:eastAsia="zh-CN" w:bidi="ar-SA"/>
    </w:rPr>
  </w:style>
  <w:style w:type="paragraph" w:customStyle="1" w:styleId="151">
    <w:name w:val="标题 11"/>
    <w:basedOn w:val="145"/>
    <w:next w:val="145"/>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2">
    <w:name w:val="正文 + 行距: 固定值 20 磅"/>
    <w:basedOn w:val="1"/>
    <w:qFormat/>
    <w:uiPriority w:val="0"/>
    <w:pPr>
      <w:spacing w:line="400" w:lineRule="exact"/>
      <w:ind w:firstLine="716" w:firstLineChars="341"/>
    </w:pPr>
    <w:rPr>
      <w:rFonts w:ascii="Calibri" w:hAnsi="Calibri"/>
      <w:szCs w:val="22"/>
    </w:rPr>
  </w:style>
  <w:style w:type="paragraph" w:customStyle="1" w:styleId="153">
    <w:name w:val="TOC 标题1"/>
    <w:basedOn w:val="2"/>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4">
    <w:name w:val="表格文字"/>
    <w:basedOn w:val="1"/>
    <w:link w:val="185"/>
    <w:qFormat/>
    <w:uiPriority w:val="0"/>
    <w:pPr>
      <w:adjustRightInd w:val="0"/>
      <w:spacing w:line="420" w:lineRule="atLeast"/>
      <w:jc w:val="left"/>
      <w:textAlignment w:val="baseline"/>
    </w:pPr>
    <w:rPr>
      <w:rFonts w:ascii="Calibri" w:hAnsi="Calibri"/>
      <w:kern w:val="0"/>
      <w:szCs w:val="22"/>
    </w:rPr>
  </w:style>
  <w:style w:type="paragraph" w:customStyle="1" w:styleId="155">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6">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7">
    <w:name w:val="表格"/>
    <w:basedOn w:val="1"/>
    <w:qFormat/>
    <w:uiPriority w:val="0"/>
    <w:pPr>
      <w:jc w:val="center"/>
      <w:textAlignment w:val="center"/>
    </w:pPr>
    <w:rPr>
      <w:rFonts w:ascii="华文细黑" w:hAnsi="华文细黑"/>
      <w:kern w:val="0"/>
      <w:szCs w:val="22"/>
    </w:rPr>
  </w:style>
  <w:style w:type="paragraph" w:customStyle="1" w:styleId="15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列出段落2"/>
    <w:basedOn w:val="1"/>
    <w:qFormat/>
    <w:uiPriority w:val="99"/>
    <w:pPr>
      <w:ind w:firstLine="420" w:firstLineChars="200"/>
    </w:pPr>
  </w:style>
  <w:style w:type="paragraph" w:customStyle="1" w:styleId="161">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2">
    <w:name w:val="Char Char Char Char Char Char Char"/>
    <w:basedOn w:val="1"/>
    <w:qFormat/>
    <w:uiPriority w:val="0"/>
    <w:pPr>
      <w:adjustRightInd w:val="0"/>
      <w:spacing w:line="360" w:lineRule="auto"/>
    </w:pPr>
    <w:rPr>
      <w:kern w:val="0"/>
      <w:sz w:val="24"/>
      <w:szCs w:val="20"/>
    </w:rPr>
  </w:style>
  <w:style w:type="paragraph" w:customStyle="1" w:styleId="163">
    <w:name w:val="2方案格式2"/>
    <w:basedOn w:val="143"/>
    <w:qFormat/>
    <w:uiPriority w:val="0"/>
    <w:pPr>
      <w:numPr>
        <w:ilvl w:val="1"/>
      </w:numPr>
      <w:spacing w:before="50" w:after="50" w:line="240" w:lineRule="auto"/>
      <w:outlineLvl w:val="1"/>
    </w:pPr>
    <w:rPr>
      <w:sz w:val="44"/>
    </w:rPr>
  </w:style>
  <w:style w:type="paragraph" w:customStyle="1" w:styleId="16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66">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目录 4_0"/>
    <w:basedOn w:val="57"/>
    <w:next w:val="57"/>
    <w:qFormat/>
    <w:uiPriority w:val="39"/>
    <w:pPr>
      <w:ind w:left="1260" w:leftChars="600"/>
    </w:pPr>
    <w:rPr>
      <w:rFonts w:ascii="Calibri" w:hAnsi="Calibri"/>
    </w:rPr>
  </w:style>
  <w:style w:type="paragraph" w:customStyle="1" w:styleId="168">
    <w:name w:val="目录 3_0"/>
    <w:basedOn w:val="57"/>
    <w:next w:val="57"/>
    <w:qFormat/>
    <w:uiPriority w:val="39"/>
    <w:pPr>
      <w:ind w:left="840" w:leftChars="400"/>
    </w:pPr>
    <w:rPr>
      <w:rFonts w:ascii="Calibri" w:hAnsi="Calibri"/>
    </w:rPr>
  </w:style>
  <w:style w:type="paragraph" w:customStyle="1" w:styleId="169">
    <w:name w:val="样式 标题 1 + 黑体 三号 非加粗 居中 段前: 6 磅 段后: 6 磅 行距: 固定值 20 磅"/>
    <w:basedOn w:val="2"/>
    <w:qFormat/>
    <w:uiPriority w:val="0"/>
    <w:pPr>
      <w:numPr>
        <w:numId w:val="0"/>
      </w:numPr>
      <w:spacing w:before="120" w:after="120" w:line="400" w:lineRule="exact"/>
    </w:pPr>
    <w:rPr>
      <w:rFonts w:ascii="黑体" w:hAnsi="黑体" w:eastAsia="黑体"/>
      <w:b w:val="0"/>
      <w:bCs w:val="0"/>
      <w:szCs w:val="20"/>
    </w:rPr>
  </w:style>
  <w:style w:type="paragraph" w:customStyle="1" w:styleId="170">
    <w:name w:val="1"/>
    <w:basedOn w:val="1"/>
    <w:next w:val="1"/>
    <w:qFormat/>
    <w:uiPriority w:val="0"/>
    <w:rPr>
      <w:rFonts w:ascii="Calibri" w:hAnsi="Calibri"/>
      <w:szCs w:val="22"/>
    </w:rPr>
  </w:style>
  <w:style w:type="paragraph" w:customStyle="1" w:styleId="171">
    <w:name w:val="Blockquote_0"/>
    <w:basedOn w:val="57"/>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2">
    <w:name w:val="列出段落11"/>
    <w:basedOn w:val="1"/>
    <w:qFormat/>
    <w:uiPriority w:val="0"/>
    <w:pPr>
      <w:widowControl/>
      <w:ind w:left="720"/>
      <w:contextualSpacing/>
      <w:jc w:val="left"/>
    </w:pPr>
    <w:rPr>
      <w:rFonts w:ascii="Arial" w:hAnsi="Arial" w:eastAsia="黑体"/>
      <w:kern w:val="0"/>
      <w:sz w:val="24"/>
      <w:lang w:eastAsia="en-US"/>
    </w:rPr>
  </w:style>
  <w:style w:type="paragraph" w:customStyle="1" w:styleId="173">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74">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p0"/>
    <w:basedOn w:val="1"/>
    <w:qFormat/>
    <w:uiPriority w:val="0"/>
    <w:pPr>
      <w:widowControl/>
    </w:pPr>
    <w:rPr>
      <w:b/>
      <w:bCs/>
      <w:kern w:val="0"/>
      <w:sz w:val="24"/>
    </w:rPr>
  </w:style>
  <w:style w:type="paragraph" w:customStyle="1" w:styleId="176">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7">
    <w:name w:val="3方案格式3"/>
    <w:basedOn w:val="163"/>
    <w:qFormat/>
    <w:uiPriority w:val="0"/>
    <w:pPr>
      <w:numPr>
        <w:ilvl w:val="2"/>
      </w:numPr>
      <w:outlineLvl w:val="2"/>
    </w:pPr>
    <w:rPr>
      <w:sz w:val="32"/>
    </w:rPr>
  </w:style>
  <w:style w:type="paragraph" w:customStyle="1" w:styleId="178">
    <w:name w:val="样式 标题 2 + Times New Roman 四号 非加粗 段前: 5 磅 段后: 0 磅 行距: 固定值 20..."/>
    <w:basedOn w:val="3"/>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79">
    <w:name w:val="标题2"/>
    <w:basedOn w:val="3"/>
    <w:next w:val="18"/>
    <w:qFormat/>
    <w:uiPriority w:val="0"/>
    <w:pPr>
      <w:spacing w:before="156" w:after="156" w:line="360" w:lineRule="auto"/>
    </w:pPr>
    <w:rPr>
      <w:bCs w:val="0"/>
      <w:sz w:val="24"/>
    </w:rPr>
  </w:style>
  <w:style w:type="paragraph" w:customStyle="1" w:styleId="18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1">
    <w:name w:val="正文11"/>
    <w:qFormat/>
    <w:uiPriority w:val="0"/>
    <w:rPr>
      <w:rFonts w:ascii="Calibri" w:hAnsi="Calibri" w:eastAsia="宋体" w:cs="Calibri"/>
      <w:sz w:val="24"/>
      <w:szCs w:val="24"/>
      <w:lang w:val="en-US" w:eastAsia="zh-CN" w:bidi="ar-SA"/>
    </w:rPr>
  </w:style>
  <w:style w:type="paragraph" w:customStyle="1" w:styleId="182">
    <w:name w:val="正文2"/>
    <w:qFormat/>
    <w:uiPriority w:val="0"/>
    <w:rPr>
      <w:rFonts w:ascii="Times New Roman" w:hAnsi="Times New Roman" w:eastAsia="微软雅黑" w:cs="Times New Roman"/>
      <w:sz w:val="24"/>
      <w:szCs w:val="24"/>
      <w:lang w:val="en-US" w:eastAsia="zh-CN" w:bidi="ar-SA"/>
    </w:rPr>
  </w:style>
  <w:style w:type="paragraph" w:customStyle="1" w:styleId="183">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4">
    <w:name w:val="纯文本2"/>
    <w:basedOn w:val="1"/>
    <w:qFormat/>
    <w:uiPriority w:val="0"/>
    <w:pPr>
      <w:jc w:val="left"/>
    </w:pPr>
    <w:rPr>
      <w:rFonts w:hint="eastAsia" w:ascii="宋体" w:hAnsi="宋体" w:cs="Courier New"/>
      <w:kern w:val="1"/>
      <w:sz w:val="24"/>
      <w:szCs w:val="20"/>
      <w:lang w:bidi="hi-IN"/>
    </w:rPr>
  </w:style>
  <w:style w:type="character" w:customStyle="1" w:styleId="185">
    <w:name w:val="表格文字 字符"/>
    <w:link w:val="154"/>
    <w:qFormat/>
    <w:uiPriority w:val="0"/>
    <w:rPr>
      <w:rFonts w:ascii="Calibri" w:hAnsi="Calibri" w:eastAsia="宋体" w:cs="Times New Roman"/>
      <w:sz w:val="21"/>
      <w:szCs w:val="22"/>
    </w:rPr>
  </w:style>
  <w:style w:type="paragraph" w:styleId="186">
    <w:name w:val="List Paragraph"/>
    <w:basedOn w:val="1"/>
    <w:link w:val="191"/>
    <w:qFormat/>
    <w:uiPriority w:val="34"/>
    <w:pPr>
      <w:ind w:firstLine="420" w:firstLineChars="200"/>
    </w:pPr>
  </w:style>
  <w:style w:type="paragraph" w:customStyle="1" w:styleId="187">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纯文本3"/>
    <w:basedOn w:val="1"/>
    <w:qFormat/>
    <w:uiPriority w:val="0"/>
    <w:pPr>
      <w:adjustRightInd w:val="0"/>
      <w:textAlignment w:val="baseline"/>
    </w:pPr>
    <w:rPr>
      <w:rFonts w:hAnsi="Courier New" w:eastAsia="楷体_GB2312"/>
      <w:sz w:val="26"/>
      <w:szCs w:val="20"/>
    </w:rPr>
  </w:style>
  <w:style w:type="character" w:customStyle="1" w:styleId="189">
    <w:name w:val="正文缩进 字符"/>
    <w:link w:val="13"/>
    <w:qFormat/>
    <w:locked/>
    <w:uiPriority w:val="0"/>
    <w:rPr>
      <w:rFonts w:ascii="Times New Roman" w:hAnsi="Times New Roman" w:eastAsia="宋体" w:cs="Times New Roman"/>
      <w:b/>
      <w:kern w:val="2"/>
      <w:sz w:val="24"/>
    </w:rPr>
  </w:style>
  <w:style w:type="character" w:customStyle="1" w:styleId="190">
    <w:name w:val="未处理的提及1"/>
    <w:basedOn w:val="45"/>
    <w:semiHidden/>
    <w:unhideWhenUsed/>
    <w:qFormat/>
    <w:uiPriority w:val="99"/>
    <w:rPr>
      <w:color w:val="605E5C"/>
      <w:shd w:val="clear" w:color="auto" w:fill="E1DFDD"/>
    </w:rPr>
  </w:style>
  <w:style w:type="character" w:customStyle="1" w:styleId="191">
    <w:name w:val="列表段落 字符"/>
    <w:link w:val="186"/>
    <w:qFormat/>
    <w:uiPriority w:val="34"/>
    <w:rPr>
      <w:rFonts w:ascii="Times New Roman" w:hAnsi="Times New Roman" w:eastAsia="宋体" w:cs="Times New Roman"/>
      <w:kern w:val="2"/>
      <w:sz w:val="21"/>
      <w:szCs w:val="24"/>
    </w:rPr>
  </w:style>
  <w:style w:type="paragraph" w:customStyle="1" w:styleId="192">
    <w:name w:val="☆正文"/>
    <w:basedOn w:val="1"/>
    <w:qFormat/>
    <w:uiPriority w:val="0"/>
    <w:pPr>
      <w:spacing w:line="360" w:lineRule="auto"/>
      <w:ind w:firstLine="200" w:firstLineChars="200"/>
    </w:pPr>
    <w:rPr>
      <w:rFonts w:ascii="宋体" w:hAnsi="Calibri"/>
      <w:sz w:val="24"/>
      <w:szCs w:val="22"/>
    </w:rPr>
  </w:style>
  <w:style w:type="paragraph" w:customStyle="1" w:styleId="193">
    <w:name w:val="标准文本"/>
    <w:basedOn w:val="1"/>
    <w:link w:val="194"/>
    <w:qFormat/>
    <w:uiPriority w:val="99"/>
    <w:pPr>
      <w:widowControl/>
      <w:spacing w:line="360" w:lineRule="auto"/>
      <w:ind w:firstLine="480" w:firstLineChars="200"/>
      <w:jc w:val="left"/>
    </w:pPr>
    <w:rPr>
      <w:rFonts w:cs="宋体"/>
      <w:sz w:val="24"/>
    </w:rPr>
  </w:style>
  <w:style w:type="character" w:customStyle="1" w:styleId="194">
    <w:name w:val="标准文本 Char"/>
    <w:link w:val="193"/>
    <w:qFormat/>
    <w:uiPriority w:val="99"/>
    <w:rPr>
      <w:rFonts w:ascii="Times New Roman" w:hAnsi="Times New Roman" w:cs="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江苏省设备成套有限公司</Company>
  <Pages>70</Pages>
  <Words>6115</Words>
  <Characters>34859</Characters>
  <Lines>290</Lines>
  <Paragraphs>81</Paragraphs>
  <TotalTime>26</TotalTime>
  <ScaleCrop>false</ScaleCrop>
  <LinksUpToDate>false</LinksUpToDate>
  <CharactersWithSpaces>40893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2020-09-30T07:50:00Z</dcterms:created>
  <dc:creator>Lenovo User</dc:creator>
  <cp:lastModifiedBy>徐强</cp:lastModifiedBy>
  <cp:lastPrinted>2020-06-30T14:22:00Z</cp:lastPrinted>
  <dcterms:modified xsi:type="dcterms:W3CDTF">2020-11-10T01:00:23Z</dcterms:modified>
  <dc:title>公开招标文件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